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8BA" w:rsidRPr="009A41C3" w:rsidRDefault="001E38BA" w:rsidP="009A41C3">
      <w:pPr>
        <w:spacing w:after="0" w:line="240" w:lineRule="auto"/>
        <w:jc w:val="both"/>
        <w:rPr>
          <w:rFonts w:ascii="Arial" w:hAnsi="Arial" w:cs="Arial"/>
          <w:sz w:val="20"/>
          <w:szCs w:val="20"/>
        </w:rPr>
      </w:pPr>
      <w:r w:rsidRPr="009A41C3">
        <w:rPr>
          <w:rFonts w:ascii="Arial" w:hAnsi="Arial" w:cs="Arial"/>
          <w:b/>
          <w:sz w:val="20"/>
          <w:szCs w:val="20"/>
        </w:rPr>
        <w:t xml:space="preserve">Nota: </w:t>
      </w:r>
      <w:r w:rsidRPr="009A41C3">
        <w:rPr>
          <w:rFonts w:ascii="Arial" w:hAnsi="Arial" w:cs="Arial"/>
          <w:sz w:val="20"/>
          <w:szCs w:val="20"/>
        </w:rPr>
        <w:t>Cada apartado debe llena</w:t>
      </w:r>
      <w:r w:rsidR="000620B7" w:rsidRPr="009A41C3">
        <w:rPr>
          <w:rFonts w:ascii="Arial" w:hAnsi="Arial" w:cs="Arial"/>
          <w:sz w:val="20"/>
          <w:szCs w:val="20"/>
        </w:rPr>
        <w:t>rse</w:t>
      </w:r>
      <w:r w:rsidRPr="009A41C3">
        <w:rPr>
          <w:rFonts w:ascii="Arial" w:hAnsi="Arial" w:cs="Arial"/>
          <w:sz w:val="20"/>
          <w:szCs w:val="20"/>
        </w:rPr>
        <w:t xml:space="preserve"> </w:t>
      </w:r>
      <w:r w:rsidR="000F478A" w:rsidRPr="009A41C3">
        <w:rPr>
          <w:rFonts w:ascii="Arial" w:hAnsi="Arial" w:cs="Arial"/>
          <w:sz w:val="20"/>
          <w:szCs w:val="20"/>
        </w:rPr>
        <w:t xml:space="preserve">con letra Arial 10 </w:t>
      </w:r>
      <w:r w:rsidRPr="009A41C3">
        <w:rPr>
          <w:rFonts w:ascii="Arial" w:hAnsi="Arial" w:cs="Arial"/>
          <w:sz w:val="20"/>
          <w:szCs w:val="20"/>
        </w:rPr>
        <w:t>en la</w:t>
      </w:r>
      <w:r w:rsidR="009E58BE" w:rsidRPr="009A41C3">
        <w:rPr>
          <w:rFonts w:ascii="Arial" w:hAnsi="Arial" w:cs="Arial"/>
          <w:sz w:val="20"/>
          <w:szCs w:val="20"/>
        </w:rPr>
        <w:t>s</w:t>
      </w:r>
      <w:r w:rsidRPr="009A41C3">
        <w:rPr>
          <w:rFonts w:ascii="Arial" w:hAnsi="Arial" w:cs="Arial"/>
          <w:sz w:val="20"/>
          <w:szCs w:val="20"/>
        </w:rPr>
        <w:t xml:space="preserve"> correspondiente</w:t>
      </w:r>
      <w:r w:rsidR="009E58BE" w:rsidRPr="009A41C3">
        <w:rPr>
          <w:rFonts w:ascii="Arial" w:hAnsi="Arial" w:cs="Arial"/>
          <w:sz w:val="20"/>
          <w:szCs w:val="20"/>
        </w:rPr>
        <w:t>s</w:t>
      </w:r>
      <w:r w:rsidRPr="009A41C3">
        <w:rPr>
          <w:rFonts w:ascii="Arial" w:hAnsi="Arial" w:cs="Arial"/>
          <w:sz w:val="20"/>
          <w:szCs w:val="20"/>
        </w:rPr>
        <w:t xml:space="preserve"> </w:t>
      </w:r>
      <w:r w:rsidR="009E58BE" w:rsidRPr="009A41C3">
        <w:rPr>
          <w:rFonts w:ascii="Arial" w:hAnsi="Arial" w:cs="Arial"/>
          <w:sz w:val="20"/>
          <w:szCs w:val="20"/>
        </w:rPr>
        <w:t>líneas</w:t>
      </w:r>
      <w:r w:rsidRPr="009A41C3">
        <w:rPr>
          <w:rFonts w:ascii="Arial" w:hAnsi="Arial" w:cs="Arial"/>
          <w:sz w:val="20"/>
          <w:szCs w:val="20"/>
        </w:rPr>
        <w:t xml:space="preserve"> en blanco acorde a los subtítulos y las instrucciones a los autores disponibles en: </w:t>
      </w:r>
      <w:hyperlink r:id="rId9" w:history="1">
        <w:r w:rsidR="003814C0" w:rsidRPr="009A41C3">
          <w:rPr>
            <w:rStyle w:val="Hipervnculo"/>
            <w:rFonts w:ascii="Arial" w:hAnsi="Arial" w:cs="Arial"/>
            <w:sz w:val="20"/>
            <w:szCs w:val="20"/>
            <w:u w:val="none"/>
          </w:rPr>
          <w:t>http://www.revneuro.sld.cu/index.php/neu/article/view/264/pdf</w:t>
        </w:r>
      </w:hyperlink>
      <w:r w:rsidR="003814C0" w:rsidRPr="009A41C3">
        <w:rPr>
          <w:rFonts w:ascii="Arial" w:hAnsi="Arial" w:cs="Arial"/>
          <w:sz w:val="20"/>
          <w:szCs w:val="20"/>
        </w:rPr>
        <w:t xml:space="preserve"> </w:t>
      </w:r>
      <w:r w:rsidRPr="009A41C3">
        <w:rPr>
          <w:rFonts w:ascii="Arial" w:hAnsi="Arial" w:cs="Arial"/>
          <w:sz w:val="20"/>
          <w:szCs w:val="20"/>
        </w:rPr>
        <w:t xml:space="preserve">Las casillas con fondo gris no deben ser modificadas. </w:t>
      </w:r>
      <w:r w:rsidR="000620B7" w:rsidRPr="009A41C3">
        <w:rPr>
          <w:rFonts w:ascii="Arial" w:hAnsi="Arial" w:cs="Arial"/>
          <w:sz w:val="20"/>
          <w:szCs w:val="20"/>
        </w:rPr>
        <w:t>Hay</w:t>
      </w:r>
      <w:r w:rsidRPr="009A41C3">
        <w:rPr>
          <w:rFonts w:ascii="Arial" w:hAnsi="Arial" w:cs="Arial"/>
          <w:sz w:val="20"/>
          <w:szCs w:val="20"/>
        </w:rPr>
        <w:t xml:space="preserve"> apartados </w:t>
      </w:r>
      <w:r w:rsidR="000620B7" w:rsidRPr="009A41C3">
        <w:rPr>
          <w:rFonts w:ascii="Arial" w:hAnsi="Arial" w:cs="Arial"/>
          <w:sz w:val="20"/>
          <w:szCs w:val="20"/>
        </w:rPr>
        <w:t xml:space="preserve">señalados como </w:t>
      </w:r>
      <w:r w:rsidRPr="009A41C3">
        <w:rPr>
          <w:rFonts w:ascii="Arial" w:hAnsi="Arial" w:cs="Arial"/>
          <w:sz w:val="20"/>
          <w:szCs w:val="20"/>
        </w:rPr>
        <w:t xml:space="preserve">opcionales </w:t>
      </w:r>
      <w:r w:rsidR="000620B7" w:rsidRPr="009A41C3">
        <w:rPr>
          <w:rFonts w:ascii="Arial" w:hAnsi="Arial" w:cs="Arial"/>
          <w:sz w:val="20"/>
          <w:szCs w:val="20"/>
        </w:rPr>
        <w:t xml:space="preserve">que </w:t>
      </w:r>
      <w:r w:rsidRPr="009A41C3">
        <w:rPr>
          <w:rFonts w:ascii="Arial" w:hAnsi="Arial" w:cs="Arial"/>
          <w:sz w:val="20"/>
          <w:szCs w:val="20"/>
        </w:rPr>
        <w:t>se pueden dejar en blanco.</w:t>
      </w:r>
      <w:r w:rsidR="000620B7" w:rsidRPr="009A41C3">
        <w:rPr>
          <w:rFonts w:ascii="Arial" w:hAnsi="Arial" w:cs="Arial"/>
          <w:sz w:val="20"/>
          <w:szCs w:val="20"/>
        </w:rPr>
        <w:t xml:space="preserve"> Al completar el manuscrito enviar anexado por correo electrónico al editor</w:t>
      </w:r>
      <w:r w:rsidR="00D101B6" w:rsidRPr="009A41C3">
        <w:rPr>
          <w:rFonts w:ascii="Arial" w:hAnsi="Arial" w:cs="Arial"/>
          <w:sz w:val="20"/>
          <w:szCs w:val="20"/>
        </w:rPr>
        <w:t xml:space="preserve"> lo siguiente: 1) Este documento Word, 2) Hasta 6</w:t>
      </w:r>
      <w:r w:rsidR="000620B7" w:rsidRPr="009A41C3">
        <w:rPr>
          <w:rFonts w:ascii="Arial" w:hAnsi="Arial" w:cs="Arial"/>
          <w:sz w:val="20"/>
          <w:szCs w:val="20"/>
        </w:rPr>
        <w:t xml:space="preserve"> figuras en formato JPEG, </w:t>
      </w:r>
      <w:r w:rsidR="00D101B6" w:rsidRPr="009A41C3">
        <w:rPr>
          <w:rFonts w:ascii="Arial" w:hAnsi="Arial" w:cs="Arial"/>
          <w:sz w:val="20"/>
          <w:szCs w:val="20"/>
        </w:rPr>
        <w:t>3) E</w:t>
      </w:r>
      <w:r w:rsidR="000620B7" w:rsidRPr="009A41C3">
        <w:rPr>
          <w:rFonts w:ascii="Arial" w:hAnsi="Arial" w:cs="Arial"/>
          <w:sz w:val="20"/>
          <w:szCs w:val="20"/>
        </w:rPr>
        <w:t xml:space="preserve">l Convenio firmado del autor con la revista </w:t>
      </w:r>
      <w:r w:rsidR="00D101B6" w:rsidRPr="009A41C3">
        <w:rPr>
          <w:rFonts w:ascii="Arial" w:hAnsi="Arial" w:cs="Arial"/>
          <w:sz w:val="20"/>
          <w:szCs w:val="20"/>
        </w:rPr>
        <w:t>(</w:t>
      </w:r>
      <w:hyperlink r:id="rId10" w:history="1">
        <w:r w:rsidR="00F30834" w:rsidRPr="009A41C3">
          <w:rPr>
            <w:rStyle w:val="Hipervnculo"/>
            <w:rFonts w:ascii="Arial" w:hAnsi="Arial" w:cs="Arial"/>
            <w:sz w:val="20"/>
            <w:szCs w:val="20"/>
            <w:u w:val="none"/>
          </w:rPr>
          <w:t>http://www.revneuro.sld.cu/index.php/neu/article/view/264/pdf_cta</w:t>
        </w:r>
      </w:hyperlink>
      <w:r w:rsidR="00D101B6" w:rsidRPr="009A41C3">
        <w:rPr>
          <w:rFonts w:ascii="Arial" w:hAnsi="Arial" w:cs="Arial"/>
          <w:sz w:val="20"/>
          <w:szCs w:val="20"/>
        </w:rPr>
        <w:t xml:space="preserve">), </w:t>
      </w:r>
      <w:r w:rsidR="000620B7" w:rsidRPr="009A41C3">
        <w:rPr>
          <w:rFonts w:ascii="Arial" w:hAnsi="Arial" w:cs="Arial"/>
          <w:sz w:val="20"/>
          <w:szCs w:val="20"/>
        </w:rPr>
        <w:t xml:space="preserve">y </w:t>
      </w:r>
      <w:r w:rsidR="00D101B6" w:rsidRPr="009A41C3">
        <w:rPr>
          <w:rFonts w:ascii="Arial" w:hAnsi="Arial" w:cs="Arial"/>
          <w:sz w:val="20"/>
          <w:szCs w:val="20"/>
        </w:rPr>
        <w:t xml:space="preserve">4) </w:t>
      </w:r>
      <w:r w:rsidR="000620B7" w:rsidRPr="009A41C3">
        <w:rPr>
          <w:rFonts w:ascii="Arial" w:hAnsi="Arial" w:cs="Arial"/>
          <w:sz w:val="20"/>
          <w:szCs w:val="20"/>
        </w:rPr>
        <w:t>Copias de trabajos similares</w:t>
      </w:r>
      <w:r w:rsidR="00D101B6" w:rsidRPr="009A41C3">
        <w:rPr>
          <w:rFonts w:ascii="Arial" w:hAnsi="Arial" w:cs="Arial"/>
          <w:sz w:val="20"/>
          <w:szCs w:val="20"/>
        </w:rPr>
        <w:t xml:space="preserve"> publicados o pendientes de publicación en otras revistas</w:t>
      </w:r>
      <w:r w:rsidR="00296758" w:rsidRPr="009A41C3">
        <w:rPr>
          <w:rFonts w:ascii="Arial" w:hAnsi="Arial" w:cs="Arial"/>
          <w:sz w:val="20"/>
          <w:szCs w:val="20"/>
        </w:rPr>
        <w:t>.</w:t>
      </w:r>
    </w:p>
    <w:p w:rsidR="00214245" w:rsidRPr="009A41C3" w:rsidRDefault="00214245" w:rsidP="009A41C3">
      <w:pPr>
        <w:pStyle w:val="Ttulo2"/>
        <w:framePr w:wrap="notBeside"/>
        <w:shd w:val="clear" w:color="auto" w:fill="F2F2F2" w:themeFill="background1" w:themeFillShade="F2"/>
        <w:jc w:val="both"/>
        <w:rPr>
          <w:rFonts w:cs="Arial"/>
          <w:szCs w:val="20"/>
        </w:rPr>
      </w:pPr>
      <w:r w:rsidRPr="009A41C3">
        <w:rPr>
          <w:rFonts w:cs="Arial"/>
          <w:szCs w:val="20"/>
        </w:rPr>
        <w:t>PRIMERA PÁGINA</w:t>
      </w:r>
    </w:p>
    <w:p w:rsidR="005E30B8" w:rsidRPr="009A41C3" w:rsidRDefault="005E30B8" w:rsidP="009A41C3">
      <w:pPr>
        <w:pStyle w:val="Ttulo3"/>
        <w:framePr w:wrap="notBeside"/>
        <w:shd w:val="clear" w:color="auto" w:fill="F2F2F2" w:themeFill="background1" w:themeFillShade="F2"/>
        <w:jc w:val="both"/>
        <w:rPr>
          <w:rFonts w:cs="Arial"/>
          <w:szCs w:val="20"/>
        </w:rPr>
      </w:pPr>
      <w:r w:rsidRPr="009A41C3">
        <w:rPr>
          <w:rFonts w:cs="Arial"/>
          <w:szCs w:val="20"/>
        </w:rPr>
        <w:t>Título del artículo en español</w:t>
      </w:r>
    </w:p>
    <w:p w:rsidR="005E30B8" w:rsidRPr="009A41C3" w:rsidRDefault="00A90C55" w:rsidP="009A41C3">
      <w:pPr>
        <w:spacing w:after="0" w:line="240" w:lineRule="auto"/>
        <w:jc w:val="both"/>
        <w:rPr>
          <w:rFonts w:ascii="Arial" w:hAnsi="Arial" w:cs="Arial"/>
          <w:sz w:val="20"/>
          <w:szCs w:val="20"/>
        </w:rPr>
      </w:pPr>
      <w:r w:rsidRPr="009A41C3">
        <w:rPr>
          <w:rFonts w:ascii="Arial" w:hAnsi="Arial" w:cs="Arial"/>
          <w:sz w:val="20"/>
          <w:szCs w:val="20"/>
        </w:rPr>
        <w:t>Crisis epiléptica</w:t>
      </w:r>
      <w:r w:rsidR="00A7302B">
        <w:rPr>
          <w:rFonts w:ascii="Arial" w:hAnsi="Arial" w:cs="Arial"/>
          <w:sz w:val="20"/>
          <w:szCs w:val="20"/>
        </w:rPr>
        <w:t>s</w:t>
      </w:r>
      <w:r w:rsidRPr="009A41C3">
        <w:rPr>
          <w:rFonts w:ascii="Arial" w:hAnsi="Arial" w:cs="Arial"/>
          <w:sz w:val="20"/>
          <w:szCs w:val="20"/>
        </w:rPr>
        <w:t xml:space="preserve"> y crisis psicógenas no epiléptica</w:t>
      </w:r>
      <w:r w:rsidR="00A7302B">
        <w:rPr>
          <w:rFonts w:ascii="Arial" w:hAnsi="Arial" w:cs="Arial"/>
          <w:sz w:val="20"/>
          <w:szCs w:val="20"/>
        </w:rPr>
        <w:t>s</w:t>
      </w:r>
      <w:r w:rsidRPr="009A41C3">
        <w:rPr>
          <w:rFonts w:ascii="Arial" w:hAnsi="Arial" w:cs="Arial"/>
          <w:sz w:val="20"/>
          <w:szCs w:val="20"/>
        </w:rPr>
        <w:t>: estudio comparativo del perfil psicológico.</w:t>
      </w:r>
    </w:p>
    <w:p w:rsidR="00A90C55" w:rsidRPr="009A41C3" w:rsidRDefault="00A90C55" w:rsidP="009A41C3">
      <w:pPr>
        <w:spacing w:after="0" w:line="240" w:lineRule="auto"/>
        <w:jc w:val="both"/>
        <w:rPr>
          <w:rFonts w:ascii="Arial" w:hAnsi="Arial" w:cs="Arial"/>
          <w:sz w:val="20"/>
          <w:szCs w:val="20"/>
        </w:rPr>
      </w:pPr>
    </w:p>
    <w:p w:rsidR="005E30B8" w:rsidRPr="00D41D7D" w:rsidRDefault="005E30B8" w:rsidP="009A41C3">
      <w:pPr>
        <w:pStyle w:val="Ttulo3"/>
        <w:framePr w:wrap="notBeside"/>
        <w:shd w:val="clear" w:color="auto" w:fill="F2F2F2" w:themeFill="background1" w:themeFillShade="F2"/>
        <w:jc w:val="both"/>
        <w:rPr>
          <w:rFonts w:cs="Arial"/>
          <w:szCs w:val="20"/>
        </w:rPr>
      </w:pPr>
      <w:r w:rsidRPr="00D41D7D">
        <w:rPr>
          <w:rFonts w:cs="Arial"/>
          <w:szCs w:val="20"/>
        </w:rPr>
        <w:t>Título del artículo en inglés</w:t>
      </w:r>
    </w:p>
    <w:p w:rsidR="005E30B8" w:rsidRPr="00D41D7D" w:rsidRDefault="00A90C55" w:rsidP="009A41C3">
      <w:pPr>
        <w:spacing w:after="0" w:line="240" w:lineRule="auto"/>
        <w:jc w:val="both"/>
        <w:rPr>
          <w:rFonts w:ascii="Arial" w:hAnsi="Arial" w:cs="Arial"/>
          <w:sz w:val="20"/>
          <w:szCs w:val="20"/>
        </w:rPr>
      </w:pPr>
      <w:proofErr w:type="spellStart"/>
      <w:r w:rsidRPr="00D41D7D">
        <w:rPr>
          <w:rFonts w:ascii="Arial" w:hAnsi="Arial" w:cs="Arial"/>
          <w:sz w:val="20"/>
          <w:szCs w:val="20"/>
        </w:rPr>
        <w:t>Epileptic</w:t>
      </w:r>
      <w:proofErr w:type="spellEnd"/>
      <w:r w:rsidRPr="00D41D7D">
        <w:rPr>
          <w:rFonts w:ascii="Arial" w:hAnsi="Arial" w:cs="Arial"/>
          <w:sz w:val="20"/>
          <w:szCs w:val="20"/>
        </w:rPr>
        <w:t xml:space="preserve"> and non-</w:t>
      </w:r>
      <w:proofErr w:type="spellStart"/>
      <w:r w:rsidRPr="00D41D7D">
        <w:rPr>
          <w:rFonts w:ascii="Arial" w:hAnsi="Arial" w:cs="Arial"/>
          <w:sz w:val="20"/>
          <w:szCs w:val="20"/>
        </w:rPr>
        <w:t>epileptic</w:t>
      </w:r>
      <w:proofErr w:type="spellEnd"/>
      <w:r w:rsidRPr="00D41D7D">
        <w:rPr>
          <w:rFonts w:ascii="Arial" w:hAnsi="Arial" w:cs="Arial"/>
          <w:sz w:val="20"/>
          <w:szCs w:val="20"/>
        </w:rPr>
        <w:t xml:space="preserve"> seizures: </w:t>
      </w:r>
      <w:proofErr w:type="spellStart"/>
      <w:r w:rsidRPr="00D41D7D">
        <w:rPr>
          <w:rFonts w:ascii="Arial" w:hAnsi="Arial" w:cs="Arial"/>
          <w:sz w:val="20"/>
          <w:szCs w:val="20"/>
        </w:rPr>
        <w:t>comparative</w:t>
      </w:r>
      <w:proofErr w:type="spellEnd"/>
      <w:r w:rsidRPr="00D41D7D">
        <w:rPr>
          <w:rFonts w:ascii="Arial" w:hAnsi="Arial" w:cs="Arial"/>
          <w:sz w:val="20"/>
          <w:szCs w:val="20"/>
        </w:rPr>
        <w:t xml:space="preserve"> </w:t>
      </w:r>
      <w:proofErr w:type="spellStart"/>
      <w:r w:rsidRPr="00D41D7D">
        <w:rPr>
          <w:rFonts w:ascii="Arial" w:hAnsi="Arial" w:cs="Arial"/>
          <w:sz w:val="20"/>
          <w:szCs w:val="20"/>
        </w:rPr>
        <w:t>study</w:t>
      </w:r>
      <w:proofErr w:type="spellEnd"/>
      <w:r w:rsidRPr="00D41D7D">
        <w:rPr>
          <w:rFonts w:ascii="Arial" w:hAnsi="Arial" w:cs="Arial"/>
          <w:sz w:val="20"/>
          <w:szCs w:val="20"/>
        </w:rPr>
        <w:t xml:space="preserve"> of </w:t>
      </w:r>
      <w:proofErr w:type="spellStart"/>
      <w:r w:rsidRPr="00D41D7D">
        <w:rPr>
          <w:rFonts w:ascii="Arial" w:hAnsi="Arial" w:cs="Arial"/>
          <w:sz w:val="20"/>
          <w:szCs w:val="20"/>
        </w:rPr>
        <w:t>psychological</w:t>
      </w:r>
      <w:proofErr w:type="spellEnd"/>
      <w:r w:rsidRPr="00D41D7D">
        <w:rPr>
          <w:rFonts w:ascii="Arial" w:hAnsi="Arial" w:cs="Arial"/>
          <w:sz w:val="20"/>
          <w:szCs w:val="20"/>
        </w:rPr>
        <w:t xml:space="preserve"> </w:t>
      </w:r>
      <w:proofErr w:type="spellStart"/>
      <w:r w:rsidRPr="00D41D7D">
        <w:rPr>
          <w:rFonts w:ascii="Arial" w:hAnsi="Arial" w:cs="Arial"/>
          <w:sz w:val="20"/>
          <w:szCs w:val="20"/>
        </w:rPr>
        <w:t>profile</w:t>
      </w:r>
      <w:proofErr w:type="spellEnd"/>
      <w:r w:rsidRPr="00D41D7D">
        <w:rPr>
          <w:rFonts w:ascii="Arial" w:hAnsi="Arial" w:cs="Arial"/>
          <w:sz w:val="20"/>
          <w:szCs w:val="20"/>
        </w:rPr>
        <w:t>.</w:t>
      </w:r>
    </w:p>
    <w:p w:rsidR="005E30B8" w:rsidRPr="00D41D7D" w:rsidRDefault="005E30B8" w:rsidP="009A41C3">
      <w:pPr>
        <w:spacing w:after="0" w:line="240" w:lineRule="auto"/>
        <w:jc w:val="both"/>
        <w:rPr>
          <w:rFonts w:ascii="Arial" w:hAnsi="Arial" w:cs="Arial"/>
          <w:sz w:val="20"/>
          <w:szCs w:val="20"/>
        </w:rPr>
      </w:pPr>
    </w:p>
    <w:p w:rsidR="005E30B8" w:rsidRPr="009A41C3" w:rsidRDefault="005E30B8" w:rsidP="009A41C3">
      <w:pPr>
        <w:pStyle w:val="Ttulo3"/>
        <w:framePr w:wrap="notBeside"/>
        <w:shd w:val="clear" w:color="auto" w:fill="F2F2F2" w:themeFill="background1" w:themeFillShade="F2"/>
        <w:jc w:val="both"/>
        <w:rPr>
          <w:rFonts w:cs="Arial"/>
          <w:szCs w:val="20"/>
        </w:rPr>
      </w:pPr>
      <w:r w:rsidRPr="009A41C3">
        <w:rPr>
          <w:rFonts w:cs="Arial"/>
          <w:szCs w:val="20"/>
        </w:rPr>
        <w:t>Nombres y apellidos de cada autor</w:t>
      </w:r>
    </w:p>
    <w:p w:rsidR="005E30B8" w:rsidRPr="009A41C3" w:rsidRDefault="005E30B8" w:rsidP="009A41C3">
      <w:pPr>
        <w:spacing w:after="0" w:line="240" w:lineRule="auto"/>
        <w:jc w:val="both"/>
        <w:rPr>
          <w:rFonts w:ascii="Arial" w:hAnsi="Arial" w:cs="Arial"/>
          <w:sz w:val="20"/>
          <w:szCs w:val="20"/>
        </w:rPr>
      </w:pPr>
      <w:r w:rsidRPr="009A41C3">
        <w:rPr>
          <w:rFonts w:ascii="Arial" w:hAnsi="Arial" w:cs="Arial"/>
          <w:sz w:val="20"/>
          <w:szCs w:val="20"/>
        </w:rPr>
        <w:t>1.</w:t>
      </w:r>
      <w:r w:rsidR="00996307" w:rsidRPr="009A41C3">
        <w:rPr>
          <w:rFonts w:ascii="Arial" w:hAnsi="Arial" w:cs="Arial"/>
          <w:sz w:val="20"/>
          <w:szCs w:val="20"/>
        </w:rPr>
        <w:t xml:space="preserve"> Marilyn Zaldívar Bermúdez</w:t>
      </w:r>
    </w:p>
    <w:p w:rsidR="005E30B8" w:rsidRPr="009A41C3" w:rsidRDefault="005E30B8" w:rsidP="009A41C3">
      <w:pPr>
        <w:spacing w:after="0" w:line="240" w:lineRule="auto"/>
        <w:jc w:val="both"/>
        <w:rPr>
          <w:rFonts w:ascii="Arial" w:hAnsi="Arial" w:cs="Arial"/>
          <w:sz w:val="20"/>
          <w:szCs w:val="20"/>
        </w:rPr>
      </w:pPr>
      <w:r w:rsidRPr="009A41C3">
        <w:rPr>
          <w:rFonts w:ascii="Arial" w:hAnsi="Arial" w:cs="Arial"/>
          <w:sz w:val="20"/>
          <w:szCs w:val="20"/>
        </w:rPr>
        <w:t>2.</w:t>
      </w:r>
      <w:r w:rsidR="00996307" w:rsidRPr="009A41C3">
        <w:rPr>
          <w:rFonts w:ascii="Arial" w:hAnsi="Arial" w:cs="Arial"/>
          <w:sz w:val="20"/>
          <w:szCs w:val="20"/>
        </w:rPr>
        <w:t xml:space="preserve"> Lilia María Morales Chacón</w:t>
      </w:r>
    </w:p>
    <w:p w:rsidR="00A90C55" w:rsidRPr="009A41C3" w:rsidRDefault="005E30B8" w:rsidP="009A41C3">
      <w:pPr>
        <w:spacing w:after="0" w:line="240" w:lineRule="auto"/>
        <w:jc w:val="both"/>
        <w:rPr>
          <w:rFonts w:ascii="Arial" w:hAnsi="Arial" w:cs="Arial"/>
          <w:sz w:val="20"/>
          <w:szCs w:val="20"/>
        </w:rPr>
      </w:pPr>
      <w:r w:rsidRPr="009A41C3">
        <w:rPr>
          <w:rFonts w:ascii="Arial" w:hAnsi="Arial" w:cs="Arial"/>
          <w:sz w:val="20"/>
          <w:szCs w:val="20"/>
        </w:rPr>
        <w:t>3.</w:t>
      </w:r>
      <w:r w:rsidR="00996307" w:rsidRPr="009A41C3">
        <w:rPr>
          <w:rFonts w:ascii="Arial" w:hAnsi="Arial" w:cs="Arial"/>
          <w:sz w:val="20"/>
          <w:szCs w:val="20"/>
        </w:rPr>
        <w:t xml:space="preserve"> </w:t>
      </w:r>
      <w:r w:rsidR="00A90C55" w:rsidRPr="009A41C3">
        <w:rPr>
          <w:rFonts w:ascii="Arial" w:hAnsi="Arial" w:cs="Arial"/>
          <w:sz w:val="20"/>
          <w:szCs w:val="20"/>
        </w:rPr>
        <w:t>Margarita Minou Báez Martín</w:t>
      </w:r>
    </w:p>
    <w:p w:rsidR="005E30B8" w:rsidRPr="009A41C3" w:rsidRDefault="00A90C55" w:rsidP="009A41C3">
      <w:pPr>
        <w:spacing w:after="0" w:line="240" w:lineRule="auto"/>
        <w:jc w:val="both"/>
        <w:rPr>
          <w:rFonts w:ascii="Arial" w:hAnsi="Arial" w:cs="Arial"/>
          <w:sz w:val="20"/>
          <w:szCs w:val="20"/>
        </w:rPr>
      </w:pPr>
      <w:r w:rsidRPr="009A41C3">
        <w:rPr>
          <w:rFonts w:ascii="Arial" w:hAnsi="Arial" w:cs="Arial"/>
          <w:sz w:val="20"/>
          <w:szCs w:val="20"/>
        </w:rPr>
        <w:t>4. Judith González González</w:t>
      </w:r>
    </w:p>
    <w:p w:rsidR="005E30B8" w:rsidRPr="009A41C3" w:rsidRDefault="00A90C55" w:rsidP="009A41C3">
      <w:pPr>
        <w:spacing w:after="0" w:line="240" w:lineRule="auto"/>
        <w:jc w:val="both"/>
        <w:rPr>
          <w:rFonts w:ascii="Arial" w:hAnsi="Arial" w:cs="Arial"/>
          <w:sz w:val="20"/>
          <w:szCs w:val="20"/>
        </w:rPr>
      </w:pPr>
      <w:r w:rsidRPr="009A41C3">
        <w:rPr>
          <w:rFonts w:ascii="Arial" w:hAnsi="Arial" w:cs="Arial"/>
          <w:sz w:val="20"/>
          <w:szCs w:val="20"/>
        </w:rPr>
        <w:t>5</w:t>
      </w:r>
      <w:r w:rsidR="005E30B8" w:rsidRPr="009A41C3">
        <w:rPr>
          <w:rFonts w:ascii="Arial" w:hAnsi="Arial" w:cs="Arial"/>
          <w:sz w:val="20"/>
          <w:szCs w:val="20"/>
        </w:rPr>
        <w:t>.</w:t>
      </w:r>
      <w:r w:rsidRPr="009A41C3">
        <w:rPr>
          <w:rFonts w:ascii="Arial" w:hAnsi="Arial" w:cs="Arial"/>
          <w:sz w:val="20"/>
          <w:szCs w:val="20"/>
        </w:rPr>
        <w:t xml:space="preserve"> Randis Garbey Fernández</w:t>
      </w:r>
    </w:p>
    <w:p w:rsidR="00965EC4" w:rsidRPr="009A41C3" w:rsidRDefault="00A90C55" w:rsidP="009A41C3">
      <w:pPr>
        <w:spacing w:after="0" w:line="240" w:lineRule="auto"/>
        <w:jc w:val="both"/>
        <w:rPr>
          <w:rFonts w:ascii="Arial" w:hAnsi="Arial" w:cs="Arial"/>
          <w:sz w:val="20"/>
          <w:szCs w:val="20"/>
        </w:rPr>
      </w:pPr>
      <w:r w:rsidRPr="009A41C3">
        <w:rPr>
          <w:rFonts w:ascii="Arial" w:hAnsi="Arial" w:cs="Arial"/>
          <w:sz w:val="20"/>
          <w:szCs w:val="20"/>
        </w:rPr>
        <w:t>6</w:t>
      </w:r>
      <w:r w:rsidR="005E30B8" w:rsidRPr="009A41C3">
        <w:rPr>
          <w:rFonts w:ascii="Arial" w:hAnsi="Arial" w:cs="Arial"/>
          <w:sz w:val="20"/>
          <w:szCs w:val="20"/>
        </w:rPr>
        <w:t>.</w:t>
      </w:r>
      <w:r w:rsidR="004C49BB" w:rsidRPr="009A41C3">
        <w:rPr>
          <w:rFonts w:ascii="Arial" w:hAnsi="Arial" w:cs="Arial"/>
          <w:sz w:val="20"/>
          <w:szCs w:val="20"/>
        </w:rPr>
        <w:t xml:space="preserve"> Maydelin Alfonso </w:t>
      </w:r>
      <w:proofErr w:type="spellStart"/>
      <w:r w:rsidR="004C49BB" w:rsidRPr="009A41C3">
        <w:rPr>
          <w:rFonts w:ascii="Arial" w:hAnsi="Arial" w:cs="Arial"/>
          <w:sz w:val="20"/>
          <w:szCs w:val="20"/>
        </w:rPr>
        <w:t>Alfonso</w:t>
      </w:r>
      <w:proofErr w:type="spellEnd"/>
    </w:p>
    <w:p w:rsidR="005E30B8" w:rsidRPr="009A41C3" w:rsidRDefault="005E30B8" w:rsidP="009A41C3">
      <w:pPr>
        <w:pStyle w:val="Ttulo3"/>
        <w:framePr w:wrap="notBeside"/>
        <w:shd w:val="clear" w:color="auto" w:fill="F2F2F2" w:themeFill="background1" w:themeFillShade="F2"/>
        <w:jc w:val="both"/>
        <w:rPr>
          <w:rFonts w:cs="Arial"/>
          <w:szCs w:val="20"/>
        </w:rPr>
      </w:pPr>
      <w:r w:rsidRPr="009A41C3">
        <w:rPr>
          <w:rFonts w:cs="Arial"/>
          <w:szCs w:val="20"/>
        </w:rPr>
        <w:t>Afiliación institucional de cada autor</w:t>
      </w:r>
    </w:p>
    <w:p w:rsidR="005E30B8" w:rsidRPr="009A41C3" w:rsidRDefault="005E30B8" w:rsidP="009A41C3">
      <w:pPr>
        <w:spacing w:after="0" w:line="240" w:lineRule="auto"/>
        <w:jc w:val="both"/>
        <w:rPr>
          <w:rFonts w:ascii="Arial" w:hAnsi="Arial" w:cs="Arial"/>
          <w:sz w:val="20"/>
          <w:szCs w:val="20"/>
        </w:rPr>
      </w:pPr>
      <w:r w:rsidRPr="009A41C3">
        <w:rPr>
          <w:rFonts w:ascii="Arial" w:hAnsi="Arial" w:cs="Arial"/>
          <w:sz w:val="20"/>
          <w:szCs w:val="20"/>
        </w:rPr>
        <w:t>1.</w:t>
      </w:r>
      <w:r w:rsidR="00996307" w:rsidRPr="009A41C3">
        <w:rPr>
          <w:rFonts w:ascii="Arial" w:hAnsi="Arial" w:cs="Arial"/>
          <w:sz w:val="20"/>
          <w:szCs w:val="20"/>
        </w:rPr>
        <w:t xml:space="preserve"> Servicio de Neuropsicología. Centro Internacional de Restaurac</w:t>
      </w:r>
      <w:r w:rsidR="00C04D86">
        <w:rPr>
          <w:rFonts w:ascii="Arial" w:hAnsi="Arial" w:cs="Arial"/>
          <w:sz w:val="20"/>
          <w:szCs w:val="20"/>
        </w:rPr>
        <w:t>ión Neurológica, La Habana Cuba</w:t>
      </w:r>
    </w:p>
    <w:p w:rsidR="005E30B8" w:rsidRPr="009A41C3" w:rsidRDefault="005E30B8" w:rsidP="009A41C3">
      <w:pPr>
        <w:spacing w:after="0" w:line="240" w:lineRule="auto"/>
        <w:jc w:val="both"/>
        <w:rPr>
          <w:rFonts w:ascii="Arial" w:hAnsi="Arial" w:cs="Arial"/>
          <w:sz w:val="20"/>
          <w:szCs w:val="20"/>
        </w:rPr>
      </w:pPr>
      <w:r w:rsidRPr="009A41C3">
        <w:rPr>
          <w:rFonts w:ascii="Arial" w:hAnsi="Arial" w:cs="Arial"/>
          <w:sz w:val="20"/>
          <w:szCs w:val="20"/>
        </w:rPr>
        <w:t>2.</w:t>
      </w:r>
      <w:r w:rsidR="00996307" w:rsidRPr="009A41C3">
        <w:rPr>
          <w:rFonts w:ascii="Arial" w:hAnsi="Arial" w:cs="Arial"/>
          <w:sz w:val="20"/>
          <w:szCs w:val="20"/>
        </w:rPr>
        <w:t xml:space="preserve"> Servicio de Neurofisiología Clínica. Centro Internacional de Restaurac</w:t>
      </w:r>
      <w:r w:rsidR="00C04D86">
        <w:rPr>
          <w:rFonts w:ascii="Arial" w:hAnsi="Arial" w:cs="Arial"/>
          <w:sz w:val="20"/>
          <w:szCs w:val="20"/>
        </w:rPr>
        <w:t>ión Neurológica, La Habana Cuba</w:t>
      </w:r>
    </w:p>
    <w:p w:rsidR="005E30B8" w:rsidRPr="009A41C3" w:rsidRDefault="005E30B8" w:rsidP="009A41C3">
      <w:pPr>
        <w:spacing w:after="0" w:line="240" w:lineRule="auto"/>
        <w:jc w:val="both"/>
        <w:rPr>
          <w:rFonts w:ascii="Arial" w:hAnsi="Arial" w:cs="Arial"/>
          <w:sz w:val="20"/>
          <w:szCs w:val="20"/>
        </w:rPr>
      </w:pPr>
      <w:r w:rsidRPr="009A41C3">
        <w:rPr>
          <w:rFonts w:ascii="Arial" w:hAnsi="Arial" w:cs="Arial"/>
          <w:sz w:val="20"/>
          <w:szCs w:val="20"/>
        </w:rPr>
        <w:t>3.</w:t>
      </w:r>
      <w:r w:rsidR="004C49BB" w:rsidRPr="009A41C3">
        <w:rPr>
          <w:rFonts w:ascii="Arial" w:hAnsi="Arial" w:cs="Arial"/>
          <w:sz w:val="20"/>
          <w:szCs w:val="20"/>
        </w:rPr>
        <w:t xml:space="preserve"> Servicio de Neurofisiología Clínica</w:t>
      </w:r>
      <w:r w:rsidR="00996307" w:rsidRPr="009A41C3">
        <w:rPr>
          <w:rFonts w:ascii="Arial" w:hAnsi="Arial" w:cs="Arial"/>
          <w:sz w:val="20"/>
          <w:szCs w:val="20"/>
        </w:rPr>
        <w:t>. Centro Internacional de Restaurac</w:t>
      </w:r>
      <w:r w:rsidR="00C04D86">
        <w:rPr>
          <w:rFonts w:ascii="Arial" w:hAnsi="Arial" w:cs="Arial"/>
          <w:sz w:val="20"/>
          <w:szCs w:val="20"/>
        </w:rPr>
        <w:t>ión Neurológica, La Habana Cuba</w:t>
      </w:r>
    </w:p>
    <w:p w:rsidR="005E30B8" w:rsidRPr="009A41C3" w:rsidRDefault="005E30B8" w:rsidP="009A41C3">
      <w:pPr>
        <w:spacing w:after="0" w:line="240" w:lineRule="auto"/>
        <w:jc w:val="both"/>
        <w:rPr>
          <w:rFonts w:ascii="Arial" w:hAnsi="Arial" w:cs="Arial"/>
          <w:sz w:val="20"/>
          <w:szCs w:val="20"/>
        </w:rPr>
      </w:pPr>
      <w:r w:rsidRPr="009A41C3">
        <w:rPr>
          <w:rFonts w:ascii="Arial" w:hAnsi="Arial" w:cs="Arial"/>
          <w:sz w:val="20"/>
          <w:szCs w:val="20"/>
        </w:rPr>
        <w:t>4.</w:t>
      </w:r>
      <w:r w:rsidR="004C49BB" w:rsidRPr="009A41C3">
        <w:rPr>
          <w:rFonts w:ascii="Arial" w:hAnsi="Arial" w:cs="Arial"/>
          <w:sz w:val="20"/>
          <w:szCs w:val="20"/>
        </w:rPr>
        <w:t xml:space="preserve"> Servicio de Neuropediatría. Centro Internacional de Restauración Neurológica, La Habana Cuba</w:t>
      </w:r>
    </w:p>
    <w:p w:rsidR="005E30B8" w:rsidRPr="009A41C3" w:rsidRDefault="005E30B8" w:rsidP="009A41C3">
      <w:pPr>
        <w:spacing w:after="0" w:line="240" w:lineRule="auto"/>
        <w:jc w:val="both"/>
        <w:rPr>
          <w:rFonts w:ascii="Arial" w:hAnsi="Arial" w:cs="Arial"/>
          <w:sz w:val="20"/>
          <w:szCs w:val="20"/>
        </w:rPr>
      </w:pPr>
      <w:r w:rsidRPr="009A41C3">
        <w:rPr>
          <w:rFonts w:ascii="Arial" w:hAnsi="Arial" w:cs="Arial"/>
          <w:sz w:val="20"/>
          <w:szCs w:val="20"/>
        </w:rPr>
        <w:t>5.</w:t>
      </w:r>
      <w:r w:rsidR="004C49BB" w:rsidRPr="009A41C3">
        <w:rPr>
          <w:rFonts w:ascii="Arial" w:hAnsi="Arial" w:cs="Arial"/>
          <w:sz w:val="20"/>
          <w:szCs w:val="20"/>
        </w:rPr>
        <w:t xml:space="preserve"> Servicio de Neurocirugía. Centro Internacional de Restauración Neurológica, La Habana Cuba</w:t>
      </w:r>
    </w:p>
    <w:p w:rsidR="005E30B8" w:rsidRPr="009A41C3" w:rsidRDefault="005E30B8" w:rsidP="009A41C3">
      <w:pPr>
        <w:spacing w:after="0" w:line="240" w:lineRule="auto"/>
        <w:jc w:val="both"/>
        <w:rPr>
          <w:rFonts w:ascii="Arial" w:hAnsi="Arial" w:cs="Arial"/>
          <w:sz w:val="20"/>
          <w:szCs w:val="20"/>
        </w:rPr>
      </w:pPr>
      <w:r w:rsidRPr="009A41C3">
        <w:rPr>
          <w:rFonts w:ascii="Arial" w:hAnsi="Arial" w:cs="Arial"/>
          <w:sz w:val="20"/>
          <w:szCs w:val="20"/>
        </w:rPr>
        <w:t>6.</w:t>
      </w:r>
      <w:r w:rsidR="004C49BB" w:rsidRPr="009A41C3">
        <w:rPr>
          <w:rFonts w:ascii="Arial" w:hAnsi="Arial" w:cs="Arial"/>
          <w:sz w:val="20"/>
          <w:szCs w:val="20"/>
        </w:rPr>
        <w:t xml:space="preserve"> Servicio de Neurofisiología Clínica. Centro Internacional de Restauración Neurológica, La Habana Cuba</w:t>
      </w:r>
    </w:p>
    <w:p w:rsidR="005E30B8" w:rsidRPr="009A41C3" w:rsidRDefault="005E30B8" w:rsidP="009A41C3">
      <w:pPr>
        <w:pStyle w:val="Ttulo3"/>
        <w:framePr w:wrap="notBeside"/>
        <w:shd w:val="clear" w:color="auto" w:fill="F2F2F2" w:themeFill="background1" w:themeFillShade="F2"/>
        <w:jc w:val="both"/>
        <w:rPr>
          <w:rFonts w:cs="Arial"/>
          <w:szCs w:val="20"/>
        </w:rPr>
      </w:pPr>
      <w:r w:rsidRPr="009A41C3">
        <w:rPr>
          <w:rFonts w:cs="Arial"/>
          <w:szCs w:val="20"/>
        </w:rPr>
        <w:t>Correspondencia</w:t>
      </w:r>
    </w:p>
    <w:p w:rsidR="005E30B8" w:rsidRPr="009A41C3" w:rsidRDefault="005E30B8" w:rsidP="009A41C3">
      <w:pPr>
        <w:spacing w:after="0" w:line="240" w:lineRule="auto"/>
        <w:jc w:val="both"/>
        <w:rPr>
          <w:rFonts w:ascii="Arial" w:hAnsi="Arial" w:cs="Arial"/>
          <w:sz w:val="20"/>
          <w:szCs w:val="20"/>
        </w:rPr>
      </w:pPr>
      <w:r w:rsidRPr="009A41C3">
        <w:rPr>
          <w:rFonts w:ascii="Arial" w:hAnsi="Arial" w:cs="Arial"/>
          <w:sz w:val="20"/>
          <w:szCs w:val="20"/>
          <w:shd w:val="clear" w:color="auto" w:fill="F2F2F2" w:themeFill="background1" w:themeFillShade="F2"/>
        </w:rPr>
        <w:t>Autor responsable:</w:t>
      </w:r>
      <w:r w:rsidRPr="009A41C3">
        <w:rPr>
          <w:rFonts w:ascii="Arial" w:hAnsi="Arial" w:cs="Arial"/>
          <w:sz w:val="20"/>
          <w:szCs w:val="20"/>
        </w:rPr>
        <w:t xml:space="preserve"> No. 1</w:t>
      </w:r>
    </w:p>
    <w:p w:rsidR="00410943" w:rsidRPr="00410943" w:rsidRDefault="005E30B8" w:rsidP="00410943">
      <w:pPr>
        <w:spacing w:after="0" w:line="240" w:lineRule="auto"/>
        <w:jc w:val="both"/>
        <w:rPr>
          <w:rFonts w:ascii="Arial" w:eastAsia="Calibri" w:hAnsi="Arial" w:cs="Arial"/>
          <w:sz w:val="20"/>
          <w:szCs w:val="20"/>
        </w:rPr>
      </w:pPr>
      <w:r w:rsidRPr="009A41C3">
        <w:rPr>
          <w:rFonts w:ascii="Arial" w:hAnsi="Arial" w:cs="Arial"/>
          <w:sz w:val="20"/>
          <w:szCs w:val="20"/>
          <w:shd w:val="clear" w:color="auto" w:fill="F2F2F2" w:themeFill="background1" w:themeFillShade="F2"/>
        </w:rPr>
        <w:t xml:space="preserve">ORCID (si no tiene crearlo en </w:t>
      </w:r>
      <w:hyperlink r:id="rId11" w:history="1">
        <w:r w:rsidRPr="009A41C3">
          <w:rPr>
            <w:rStyle w:val="Hipervnculo"/>
            <w:rFonts w:ascii="Arial" w:hAnsi="Arial" w:cs="Arial"/>
            <w:sz w:val="20"/>
            <w:szCs w:val="20"/>
            <w:shd w:val="clear" w:color="auto" w:fill="F2F2F2" w:themeFill="background1" w:themeFillShade="F2"/>
          </w:rPr>
          <w:t>www.orcid.org</w:t>
        </w:r>
      </w:hyperlink>
      <w:r w:rsidRPr="009A41C3">
        <w:rPr>
          <w:rFonts w:ascii="Arial" w:hAnsi="Arial" w:cs="Arial"/>
          <w:sz w:val="20"/>
          <w:szCs w:val="20"/>
          <w:shd w:val="clear" w:color="auto" w:fill="F2F2F2" w:themeFill="background1" w:themeFillShade="F2"/>
        </w:rPr>
        <w:t>):</w:t>
      </w:r>
      <w:r w:rsidRPr="009A41C3">
        <w:rPr>
          <w:rFonts w:ascii="Arial" w:hAnsi="Arial" w:cs="Arial"/>
          <w:sz w:val="20"/>
          <w:szCs w:val="20"/>
        </w:rPr>
        <w:cr/>
      </w:r>
      <w:r w:rsidR="00410943" w:rsidRPr="00410943">
        <w:rPr>
          <w:rFonts w:ascii="Arial" w:eastAsia="Calibri" w:hAnsi="Arial" w:cs="Arial"/>
          <w:sz w:val="20"/>
          <w:szCs w:val="20"/>
        </w:rPr>
        <w:t xml:space="preserve">Marilyn: </w:t>
      </w:r>
      <w:hyperlink r:id="rId12" w:history="1">
        <w:r w:rsidR="00410943" w:rsidRPr="00410943">
          <w:rPr>
            <w:rFonts w:ascii="Arial" w:eastAsia="Calibri" w:hAnsi="Arial" w:cs="Arial"/>
            <w:color w:val="0563C1"/>
            <w:sz w:val="20"/>
            <w:szCs w:val="20"/>
            <w:u w:val="single"/>
          </w:rPr>
          <w:t>https://orcid.org/0000-0001-5763-0861</w:t>
        </w:r>
      </w:hyperlink>
    </w:p>
    <w:p w:rsidR="00410943" w:rsidRDefault="00410943" w:rsidP="00410943">
      <w:pPr>
        <w:spacing w:after="0" w:line="240" w:lineRule="auto"/>
        <w:jc w:val="both"/>
        <w:rPr>
          <w:rFonts w:ascii="Arial" w:eastAsia="Calibri" w:hAnsi="Arial" w:cs="Arial"/>
          <w:sz w:val="20"/>
          <w:szCs w:val="20"/>
          <w:shd w:val="clear" w:color="auto" w:fill="F2F2F2"/>
        </w:rPr>
      </w:pPr>
      <w:r w:rsidRPr="00E13CAB">
        <w:rPr>
          <w:rFonts w:ascii="Arial" w:eastAsia="Calibri" w:hAnsi="Arial" w:cs="Arial"/>
          <w:sz w:val="20"/>
          <w:szCs w:val="20"/>
          <w:shd w:val="clear" w:color="auto" w:fill="F2F2F2"/>
        </w:rPr>
        <w:t>Lilia:</w:t>
      </w:r>
      <w:r w:rsidR="00E13CAB" w:rsidRPr="00E13CAB">
        <w:t xml:space="preserve"> </w:t>
      </w:r>
      <w:hyperlink r:id="rId13" w:history="1">
        <w:r w:rsidR="00E13CAB" w:rsidRPr="0007318C">
          <w:rPr>
            <w:rStyle w:val="Hipervnculo"/>
            <w:rFonts w:ascii="Arial" w:eastAsia="Calibri" w:hAnsi="Arial" w:cs="Arial"/>
            <w:sz w:val="20"/>
            <w:szCs w:val="20"/>
            <w:shd w:val="clear" w:color="auto" w:fill="F2F2F2"/>
          </w:rPr>
          <w:t>http://orcid.org/0000-0003-0205-07633</w:t>
        </w:r>
      </w:hyperlink>
    </w:p>
    <w:p w:rsidR="00410943" w:rsidRPr="00E13CAB" w:rsidRDefault="00410943" w:rsidP="00410943">
      <w:pPr>
        <w:spacing w:after="0" w:line="240" w:lineRule="auto"/>
        <w:jc w:val="both"/>
        <w:rPr>
          <w:rFonts w:ascii="Arial" w:eastAsia="Calibri" w:hAnsi="Arial" w:cs="Arial"/>
          <w:sz w:val="20"/>
          <w:szCs w:val="20"/>
          <w:shd w:val="clear" w:color="auto" w:fill="F2F2F2"/>
        </w:rPr>
      </w:pPr>
      <w:bookmarkStart w:id="0" w:name="_GoBack"/>
      <w:bookmarkEnd w:id="0"/>
      <w:r w:rsidRPr="00E13CAB">
        <w:rPr>
          <w:rFonts w:ascii="Arial" w:eastAsia="Calibri" w:hAnsi="Arial" w:cs="Arial"/>
          <w:sz w:val="20"/>
          <w:szCs w:val="20"/>
          <w:shd w:val="clear" w:color="auto" w:fill="F2F2F2"/>
        </w:rPr>
        <w:t>Margarita:</w:t>
      </w:r>
    </w:p>
    <w:p w:rsidR="00410943" w:rsidRPr="00410943" w:rsidRDefault="00410943" w:rsidP="00410943">
      <w:pPr>
        <w:spacing w:after="0" w:line="240" w:lineRule="auto"/>
        <w:jc w:val="both"/>
        <w:rPr>
          <w:rFonts w:ascii="Arial" w:eastAsia="Calibri" w:hAnsi="Arial" w:cs="Arial"/>
          <w:sz w:val="20"/>
          <w:szCs w:val="20"/>
          <w:shd w:val="clear" w:color="auto" w:fill="F2F2F2"/>
          <w:lang w:val="en-US"/>
        </w:rPr>
      </w:pPr>
      <w:r w:rsidRPr="00410943">
        <w:rPr>
          <w:rFonts w:ascii="Arial" w:eastAsia="Calibri" w:hAnsi="Arial" w:cs="Arial"/>
          <w:sz w:val="20"/>
          <w:szCs w:val="20"/>
          <w:shd w:val="clear" w:color="auto" w:fill="F2F2F2"/>
          <w:lang w:val="en-US"/>
        </w:rPr>
        <w:t xml:space="preserve">Judith: </w:t>
      </w:r>
    </w:p>
    <w:p w:rsidR="00410943" w:rsidRPr="00410943" w:rsidRDefault="00410943" w:rsidP="00410943">
      <w:pPr>
        <w:spacing w:after="0" w:line="240" w:lineRule="auto"/>
        <w:jc w:val="both"/>
        <w:rPr>
          <w:rFonts w:ascii="Arial" w:eastAsia="Calibri" w:hAnsi="Arial" w:cs="Arial"/>
          <w:sz w:val="20"/>
          <w:szCs w:val="20"/>
          <w:shd w:val="clear" w:color="auto" w:fill="F2F2F2"/>
          <w:lang w:val="en-US"/>
        </w:rPr>
      </w:pPr>
      <w:r>
        <w:rPr>
          <w:rFonts w:ascii="Arial" w:eastAsia="Calibri" w:hAnsi="Arial" w:cs="Arial"/>
          <w:sz w:val="20"/>
          <w:szCs w:val="20"/>
          <w:shd w:val="clear" w:color="auto" w:fill="F2F2F2"/>
          <w:lang w:val="en-US"/>
        </w:rPr>
        <w:t>Randis:</w:t>
      </w:r>
    </w:p>
    <w:p w:rsidR="00410943" w:rsidRPr="00410943" w:rsidRDefault="00410943" w:rsidP="00410943">
      <w:pPr>
        <w:spacing w:after="0" w:line="240" w:lineRule="auto"/>
        <w:jc w:val="both"/>
        <w:rPr>
          <w:rFonts w:ascii="Arial" w:hAnsi="Arial" w:cs="Arial"/>
          <w:sz w:val="20"/>
          <w:szCs w:val="20"/>
          <w:lang w:val="en-US"/>
        </w:rPr>
      </w:pPr>
      <w:r w:rsidRPr="00410943">
        <w:rPr>
          <w:rFonts w:ascii="Arial" w:hAnsi="Arial" w:cs="Arial"/>
          <w:sz w:val="20"/>
          <w:szCs w:val="20"/>
          <w:lang w:val="en-US"/>
        </w:rPr>
        <w:t xml:space="preserve">Maydelin: </w:t>
      </w:r>
      <w:hyperlink r:id="rId14" w:history="1">
        <w:r w:rsidRPr="00410943">
          <w:rPr>
            <w:rStyle w:val="Hipervnculo"/>
            <w:rFonts w:ascii="Arial" w:hAnsi="Arial" w:cs="Arial"/>
            <w:sz w:val="20"/>
            <w:szCs w:val="20"/>
            <w:lang w:val="en-US"/>
          </w:rPr>
          <w:t>https://orcid.org/0000-0002-3138-6503</w:t>
        </w:r>
      </w:hyperlink>
    </w:p>
    <w:p w:rsidR="005E30B8" w:rsidRDefault="005E30B8" w:rsidP="009A41C3">
      <w:pPr>
        <w:spacing w:after="0" w:line="240" w:lineRule="auto"/>
        <w:jc w:val="both"/>
        <w:rPr>
          <w:rFonts w:ascii="Arial" w:hAnsi="Arial" w:cs="Arial"/>
          <w:sz w:val="20"/>
          <w:szCs w:val="20"/>
          <w:shd w:val="clear" w:color="auto" w:fill="F2F2F2" w:themeFill="background1" w:themeFillShade="F2"/>
        </w:rPr>
      </w:pPr>
      <w:r w:rsidRPr="009A41C3">
        <w:rPr>
          <w:rFonts w:ascii="Arial" w:hAnsi="Arial" w:cs="Arial"/>
          <w:sz w:val="20"/>
          <w:szCs w:val="20"/>
          <w:shd w:val="clear" w:color="auto" w:fill="F2F2F2" w:themeFill="background1" w:themeFillShade="F2"/>
        </w:rPr>
        <w:t>Correo electrónico para correspondencia:</w:t>
      </w:r>
      <w:r w:rsidR="00996307" w:rsidRPr="009A41C3">
        <w:rPr>
          <w:rFonts w:ascii="Arial" w:hAnsi="Arial" w:cs="Arial"/>
          <w:sz w:val="20"/>
          <w:szCs w:val="20"/>
          <w:shd w:val="clear" w:color="auto" w:fill="F2F2F2" w:themeFill="background1" w:themeFillShade="F2"/>
        </w:rPr>
        <w:t xml:space="preserve"> </w:t>
      </w:r>
      <w:hyperlink r:id="rId15" w:history="1">
        <w:r w:rsidR="00410943" w:rsidRPr="008D4227">
          <w:rPr>
            <w:rStyle w:val="Hipervnculo"/>
            <w:rFonts w:ascii="Arial" w:hAnsi="Arial" w:cs="Arial"/>
            <w:sz w:val="20"/>
            <w:szCs w:val="20"/>
            <w:shd w:val="clear" w:color="auto" w:fill="F2F2F2" w:themeFill="background1" w:themeFillShade="F2"/>
          </w:rPr>
          <w:t>marilyn@neuro.ciren.cu</w:t>
        </w:r>
      </w:hyperlink>
    </w:p>
    <w:p w:rsidR="00410943" w:rsidRPr="009A41C3" w:rsidRDefault="00410943" w:rsidP="009A41C3">
      <w:pPr>
        <w:spacing w:after="0" w:line="240" w:lineRule="auto"/>
        <w:jc w:val="both"/>
        <w:rPr>
          <w:rFonts w:ascii="Arial" w:hAnsi="Arial" w:cs="Arial"/>
          <w:sz w:val="20"/>
          <w:szCs w:val="20"/>
        </w:rPr>
      </w:pPr>
    </w:p>
    <w:p w:rsidR="005E30B8" w:rsidRPr="009A41C3" w:rsidRDefault="005E30B8" w:rsidP="009A41C3">
      <w:pPr>
        <w:pStyle w:val="Ttulo3"/>
        <w:framePr w:wrap="notBeside"/>
        <w:shd w:val="clear" w:color="auto" w:fill="F2F2F2" w:themeFill="background1" w:themeFillShade="F2"/>
        <w:jc w:val="both"/>
        <w:rPr>
          <w:rFonts w:cs="Arial"/>
          <w:szCs w:val="20"/>
        </w:rPr>
      </w:pPr>
      <w:r w:rsidRPr="009A41C3">
        <w:rPr>
          <w:rFonts w:cs="Arial"/>
          <w:szCs w:val="20"/>
        </w:rPr>
        <w:t>Presentación previa (opcional)</w:t>
      </w:r>
    </w:p>
    <w:p w:rsidR="00C302EA" w:rsidRPr="00E13CAB" w:rsidRDefault="00C302EA" w:rsidP="009A41C3">
      <w:pPr>
        <w:spacing w:after="0" w:line="240" w:lineRule="auto"/>
        <w:jc w:val="both"/>
        <w:rPr>
          <w:rFonts w:ascii="Arial" w:hAnsi="Arial" w:cs="Arial"/>
          <w:sz w:val="20"/>
          <w:szCs w:val="20"/>
        </w:rPr>
      </w:pPr>
    </w:p>
    <w:p w:rsidR="005E30B8" w:rsidRPr="009A41C3" w:rsidRDefault="005E30B8" w:rsidP="009A41C3">
      <w:pPr>
        <w:pStyle w:val="Ttulo3"/>
        <w:framePr w:wrap="notBeside"/>
        <w:shd w:val="clear" w:color="auto" w:fill="F2F2F2" w:themeFill="background1" w:themeFillShade="F2"/>
        <w:jc w:val="both"/>
        <w:rPr>
          <w:rFonts w:cs="Arial"/>
          <w:szCs w:val="20"/>
        </w:rPr>
      </w:pPr>
      <w:r w:rsidRPr="009A41C3">
        <w:rPr>
          <w:rFonts w:cs="Arial"/>
          <w:szCs w:val="20"/>
        </w:rPr>
        <w:t>R</w:t>
      </w:r>
      <w:r w:rsidR="00C302EA" w:rsidRPr="009A41C3">
        <w:rPr>
          <w:rFonts w:cs="Arial"/>
          <w:szCs w:val="20"/>
        </w:rPr>
        <w:t>esumen</w:t>
      </w:r>
      <w:r w:rsidRPr="009A41C3">
        <w:rPr>
          <w:rFonts w:cs="Arial"/>
          <w:szCs w:val="20"/>
        </w:rPr>
        <w:t xml:space="preserve"> (150 a 300 palabras)</w:t>
      </w:r>
    </w:p>
    <w:p w:rsidR="004C49BB" w:rsidRPr="009A41C3" w:rsidRDefault="004C49BB" w:rsidP="009A41C3">
      <w:pPr>
        <w:spacing w:after="0" w:line="240" w:lineRule="auto"/>
        <w:jc w:val="both"/>
        <w:rPr>
          <w:rFonts w:ascii="Arial" w:hAnsi="Arial" w:cs="Arial"/>
          <w:sz w:val="20"/>
          <w:szCs w:val="20"/>
        </w:rPr>
      </w:pPr>
      <w:r w:rsidRPr="00C32170">
        <w:rPr>
          <w:rFonts w:ascii="Arial" w:hAnsi="Arial" w:cs="Arial"/>
          <w:b/>
          <w:sz w:val="20"/>
          <w:szCs w:val="20"/>
        </w:rPr>
        <w:t>Objetivo:</w:t>
      </w:r>
      <w:r w:rsidRPr="009A41C3">
        <w:rPr>
          <w:rFonts w:ascii="Arial" w:hAnsi="Arial" w:cs="Arial"/>
          <w:sz w:val="20"/>
          <w:szCs w:val="20"/>
        </w:rPr>
        <w:t xml:space="preserve"> Identificar las diferencias en el perfil psicológico de pacientes con </w:t>
      </w:r>
      <w:r w:rsidR="00D41D7D">
        <w:rPr>
          <w:rFonts w:ascii="Arial" w:hAnsi="Arial" w:cs="Arial"/>
          <w:sz w:val="20"/>
          <w:szCs w:val="20"/>
        </w:rPr>
        <w:t>crisis epilépticas (</w:t>
      </w:r>
      <w:r w:rsidRPr="009A41C3">
        <w:rPr>
          <w:rFonts w:ascii="Arial" w:hAnsi="Arial" w:cs="Arial"/>
          <w:sz w:val="20"/>
          <w:szCs w:val="20"/>
        </w:rPr>
        <w:t>CE</w:t>
      </w:r>
      <w:r w:rsidR="00D41D7D">
        <w:rPr>
          <w:rFonts w:ascii="Arial" w:hAnsi="Arial" w:cs="Arial"/>
          <w:sz w:val="20"/>
          <w:szCs w:val="20"/>
        </w:rPr>
        <w:t>)</w:t>
      </w:r>
      <w:r w:rsidRPr="009A41C3">
        <w:rPr>
          <w:rFonts w:ascii="Arial" w:hAnsi="Arial" w:cs="Arial"/>
          <w:sz w:val="20"/>
          <w:szCs w:val="20"/>
        </w:rPr>
        <w:t xml:space="preserve"> y</w:t>
      </w:r>
      <w:r w:rsidR="00D41D7D">
        <w:rPr>
          <w:rFonts w:ascii="Arial" w:hAnsi="Arial" w:cs="Arial"/>
          <w:sz w:val="20"/>
          <w:szCs w:val="20"/>
        </w:rPr>
        <w:t xml:space="preserve"> crisis psicógenas no epilépticas (</w:t>
      </w:r>
      <w:r w:rsidRPr="009A41C3">
        <w:rPr>
          <w:rFonts w:ascii="Arial" w:hAnsi="Arial" w:cs="Arial"/>
          <w:sz w:val="20"/>
          <w:szCs w:val="20"/>
        </w:rPr>
        <w:t>CPnE</w:t>
      </w:r>
      <w:r w:rsidR="00D41D7D">
        <w:rPr>
          <w:rFonts w:ascii="Arial" w:hAnsi="Arial" w:cs="Arial"/>
          <w:sz w:val="20"/>
          <w:szCs w:val="20"/>
        </w:rPr>
        <w:t>)</w:t>
      </w:r>
      <w:r w:rsidRPr="009A41C3">
        <w:rPr>
          <w:rFonts w:ascii="Arial" w:hAnsi="Arial" w:cs="Arial"/>
          <w:sz w:val="20"/>
          <w:szCs w:val="20"/>
        </w:rPr>
        <w:t xml:space="preserve">. </w:t>
      </w:r>
    </w:p>
    <w:p w:rsidR="004C49BB" w:rsidRPr="009A41C3" w:rsidRDefault="004C49BB" w:rsidP="009A41C3">
      <w:pPr>
        <w:spacing w:after="0" w:line="240" w:lineRule="auto"/>
        <w:jc w:val="both"/>
        <w:rPr>
          <w:rFonts w:ascii="Arial" w:hAnsi="Arial" w:cs="Arial"/>
          <w:sz w:val="20"/>
          <w:szCs w:val="20"/>
        </w:rPr>
      </w:pPr>
      <w:r w:rsidRPr="00C32170">
        <w:rPr>
          <w:rFonts w:ascii="Arial" w:hAnsi="Arial" w:cs="Arial"/>
          <w:b/>
          <w:sz w:val="20"/>
          <w:szCs w:val="20"/>
        </w:rPr>
        <w:t>Métodos:</w:t>
      </w:r>
      <w:r w:rsidRPr="009A41C3">
        <w:rPr>
          <w:rFonts w:ascii="Arial" w:hAnsi="Arial" w:cs="Arial"/>
          <w:sz w:val="20"/>
          <w:szCs w:val="20"/>
        </w:rPr>
        <w:t xml:space="preserve"> Se realizó un estudio descriptivo, correlacional y comparativo de 38 pacientes (15 con CE y 23 con CPnE). Evaluados en los Servicios de Neuropsicología y Neurofisiología/CIREN/enero 2001-febrero 2018. Aplicándose: entrevista estructurada, escala de experiencias disociativas (DES-II), cuestionario de afrontamiento (</w:t>
      </w:r>
      <w:proofErr w:type="spellStart"/>
      <w:r w:rsidRPr="009A41C3">
        <w:rPr>
          <w:rFonts w:ascii="Arial" w:hAnsi="Arial" w:cs="Arial"/>
          <w:sz w:val="20"/>
          <w:szCs w:val="20"/>
        </w:rPr>
        <w:t>Brief</w:t>
      </w:r>
      <w:proofErr w:type="spellEnd"/>
      <w:r w:rsidRPr="009A41C3">
        <w:rPr>
          <w:rFonts w:ascii="Arial" w:hAnsi="Arial" w:cs="Arial"/>
          <w:sz w:val="20"/>
          <w:szCs w:val="20"/>
        </w:rPr>
        <w:t xml:space="preserve"> Cope), escala de ansiedad (GAD-7) y escala de depresión (NDDI-E). Se utilizó estadística no paramétrica con significación estadística p≤0.05. </w:t>
      </w:r>
    </w:p>
    <w:p w:rsidR="004C49BB" w:rsidRPr="009A41C3" w:rsidRDefault="004C49BB" w:rsidP="009A41C3">
      <w:pPr>
        <w:spacing w:after="0" w:line="240" w:lineRule="auto"/>
        <w:jc w:val="both"/>
        <w:rPr>
          <w:rFonts w:ascii="Arial" w:hAnsi="Arial" w:cs="Arial"/>
          <w:sz w:val="20"/>
          <w:szCs w:val="20"/>
        </w:rPr>
      </w:pPr>
      <w:r w:rsidRPr="00C32170">
        <w:rPr>
          <w:rFonts w:ascii="Arial" w:hAnsi="Arial" w:cs="Arial"/>
          <w:b/>
          <w:sz w:val="20"/>
          <w:szCs w:val="20"/>
        </w:rPr>
        <w:t>Resultados:</w:t>
      </w:r>
      <w:r w:rsidRPr="009A41C3">
        <w:rPr>
          <w:rFonts w:ascii="Arial" w:hAnsi="Arial" w:cs="Arial"/>
          <w:sz w:val="20"/>
          <w:szCs w:val="20"/>
        </w:rPr>
        <w:t xml:space="preserve"> Se encontraron diferencias entre los grupos en (sospecha ansiedad/p=0.03, estresores/ p=0.05 y afrontamiento/p=0.002). Relación negativa entre la edad y las experiencias disociativas (CPnE hipermotoras) y relación positiva entre estresores y la sospecha de depresión (CPnE hipomotoras). </w:t>
      </w:r>
    </w:p>
    <w:p w:rsidR="004C49BB" w:rsidRPr="009A41C3" w:rsidRDefault="004C49BB" w:rsidP="009A41C3">
      <w:pPr>
        <w:spacing w:after="0" w:line="240" w:lineRule="auto"/>
        <w:jc w:val="both"/>
        <w:rPr>
          <w:rFonts w:ascii="Arial" w:hAnsi="Arial" w:cs="Arial"/>
          <w:sz w:val="20"/>
          <w:szCs w:val="20"/>
        </w:rPr>
      </w:pPr>
      <w:r w:rsidRPr="00C32170">
        <w:rPr>
          <w:rFonts w:ascii="Arial" w:hAnsi="Arial" w:cs="Arial"/>
          <w:b/>
          <w:sz w:val="20"/>
          <w:szCs w:val="20"/>
        </w:rPr>
        <w:t>Conclusiones:</w:t>
      </w:r>
      <w:r w:rsidRPr="009A41C3">
        <w:rPr>
          <w:rFonts w:ascii="Arial" w:hAnsi="Arial" w:cs="Arial"/>
          <w:sz w:val="20"/>
          <w:szCs w:val="20"/>
        </w:rPr>
        <w:t xml:space="preserve"> Se constata un perfil psicológico caracterizado por estados emocionales, estilos de afrontamiento y estresores desiguales entre las CE y CPnE. El tipo de CPnE y su relación con las variables </w:t>
      </w:r>
      <w:r w:rsidRPr="009A41C3">
        <w:rPr>
          <w:rFonts w:ascii="Arial" w:hAnsi="Arial" w:cs="Arial"/>
          <w:sz w:val="20"/>
          <w:szCs w:val="20"/>
        </w:rPr>
        <w:lastRenderedPageBreak/>
        <w:t xml:space="preserve">psicológicas ofrece una información práctica para redirigir la atención integral de este grupo de pacientes. La metodología utilizada constituye una herramienta útil para discriminar desde el punto psicológico las </w:t>
      </w:r>
      <w:r w:rsidR="000B6A5B">
        <w:rPr>
          <w:rFonts w:ascii="Arial" w:hAnsi="Arial" w:cs="Arial"/>
          <w:sz w:val="20"/>
          <w:szCs w:val="20"/>
        </w:rPr>
        <w:t>crisis epilépticas y no epilépticas</w:t>
      </w:r>
      <w:r w:rsidRPr="009A41C3">
        <w:rPr>
          <w:rFonts w:ascii="Arial" w:hAnsi="Arial" w:cs="Arial"/>
          <w:sz w:val="20"/>
          <w:szCs w:val="20"/>
        </w:rPr>
        <w:t>.</w:t>
      </w:r>
    </w:p>
    <w:p w:rsidR="003D4193" w:rsidRPr="009A41C3" w:rsidRDefault="003D4193" w:rsidP="009A41C3">
      <w:pPr>
        <w:spacing w:after="0" w:line="240" w:lineRule="auto"/>
        <w:jc w:val="both"/>
        <w:rPr>
          <w:rFonts w:ascii="Arial" w:hAnsi="Arial" w:cs="Arial"/>
          <w:sz w:val="20"/>
          <w:szCs w:val="20"/>
        </w:rPr>
      </w:pPr>
    </w:p>
    <w:p w:rsidR="005E30B8" w:rsidRPr="009A41C3" w:rsidRDefault="005E30B8" w:rsidP="009A41C3">
      <w:pPr>
        <w:pStyle w:val="Ttulo3"/>
        <w:framePr w:wrap="notBeside"/>
        <w:shd w:val="clear" w:color="auto" w:fill="F2F2F2" w:themeFill="background1" w:themeFillShade="F2"/>
        <w:jc w:val="both"/>
        <w:rPr>
          <w:rFonts w:cs="Arial"/>
          <w:szCs w:val="20"/>
        </w:rPr>
      </w:pPr>
      <w:r w:rsidRPr="009A41C3">
        <w:rPr>
          <w:rFonts w:cs="Arial"/>
          <w:szCs w:val="20"/>
        </w:rPr>
        <w:t>P</w:t>
      </w:r>
      <w:r w:rsidR="00C302EA" w:rsidRPr="009A41C3">
        <w:rPr>
          <w:rFonts w:cs="Arial"/>
          <w:szCs w:val="20"/>
        </w:rPr>
        <w:t xml:space="preserve">alabras clave </w:t>
      </w:r>
      <w:r w:rsidRPr="009A41C3">
        <w:rPr>
          <w:rFonts w:cs="Arial"/>
          <w:szCs w:val="20"/>
        </w:rPr>
        <w:t>(3 a 10 términos)</w:t>
      </w:r>
    </w:p>
    <w:p w:rsidR="003D4193" w:rsidRPr="009A41C3" w:rsidRDefault="004C49BB" w:rsidP="009A41C3">
      <w:pPr>
        <w:spacing w:after="0" w:line="240" w:lineRule="auto"/>
        <w:jc w:val="both"/>
        <w:rPr>
          <w:rFonts w:ascii="Arial" w:hAnsi="Arial" w:cs="Arial"/>
          <w:sz w:val="20"/>
          <w:szCs w:val="20"/>
        </w:rPr>
      </w:pPr>
      <w:r w:rsidRPr="009A41C3">
        <w:rPr>
          <w:rFonts w:ascii="Arial" w:hAnsi="Arial" w:cs="Arial"/>
          <w:sz w:val="20"/>
          <w:szCs w:val="20"/>
        </w:rPr>
        <w:t>Crisis epilépticas. Crisis psicógenas no epilépticas. Ansiedad. Depresión. Experiencias disociativas. Afrontamiento. Estresores.</w:t>
      </w:r>
    </w:p>
    <w:p w:rsidR="004C49BB" w:rsidRPr="009A41C3" w:rsidRDefault="004C49BB" w:rsidP="009A41C3">
      <w:pPr>
        <w:spacing w:after="0" w:line="240" w:lineRule="auto"/>
        <w:jc w:val="both"/>
        <w:rPr>
          <w:rFonts w:ascii="Arial" w:hAnsi="Arial" w:cs="Arial"/>
          <w:sz w:val="20"/>
          <w:szCs w:val="20"/>
        </w:rPr>
      </w:pPr>
    </w:p>
    <w:p w:rsidR="005E30B8" w:rsidRPr="009A41C3" w:rsidRDefault="005E30B8" w:rsidP="009A41C3">
      <w:pPr>
        <w:pStyle w:val="Ttulo2"/>
        <w:framePr w:wrap="notBeside"/>
        <w:shd w:val="clear" w:color="auto" w:fill="F2F2F2" w:themeFill="background1" w:themeFillShade="F2"/>
        <w:jc w:val="both"/>
        <w:rPr>
          <w:rFonts w:cs="Arial"/>
          <w:szCs w:val="20"/>
          <w:lang w:val="en-US"/>
        </w:rPr>
      </w:pPr>
      <w:r w:rsidRPr="009A41C3">
        <w:rPr>
          <w:rFonts w:cs="Arial"/>
          <w:szCs w:val="20"/>
          <w:lang w:val="en-US"/>
        </w:rPr>
        <w:t>A</w:t>
      </w:r>
      <w:r w:rsidR="00C302EA" w:rsidRPr="009A41C3">
        <w:rPr>
          <w:rFonts w:cs="Arial"/>
          <w:szCs w:val="20"/>
          <w:lang w:val="en-US"/>
        </w:rPr>
        <w:t>bstract</w:t>
      </w:r>
    </w:p>
    <w:p w:rsidR="003D4193" w:rsidRPr="009A41C3" w:rsidRDefault="003D4193" w:rsidP="009A41C3">
      <w:pPr>
        <w:spacing w:after="0" w:line="240" w:lineRule="auto"/>
        <w:jc w:val="both"/>
        <w:rPr>
          <w:rFonts w:ascii="Arial" w:hAnsi="Arial" w:cs="Arial"/>
          <w:sz w:val="20"/>
          <w:szCs w:val="20"/>
          <w:shd w:val="clear" w:color="auto" w:fill="F2F2F2" w:themeFill="background1" w:themeFillShade="F2"/>
          <w:lang w:val="en-US"/>
        </w:rPr>
      </w:pPr>
    </w:p>
    <w:p w:rsidR="000B6A5B" w:rsidRPr="000B6A5B" w:rsidRDefault="000B6A5B" w:rsidP="000B6A5B">
      <w:pPr>
        <w:spacing w:after="0" w:line="240" w:lineRule="auto"/>
        <w:jc w:val="both"/>
        <w:rPr>
          <w:rFonts w:ascii="Arial" w:hAnsi="Arial" w:cs="Arial"/>
          <w:sz w:val="20"/>
          <w:szCs w:val="20"/>
          <w:lang w:val="en-US"/>
        </w:rPr>
      </w:pPr>
      <w:r w:rsidRPr="000B6A5B">
        <w:rPr>
          <w:rFonts w:ascii="Arial" w:hAnsi="Arial" w:cs="Arial"/>
          <w:b/>
          <w:sz w:val="20"/>
          <w:szCs w:val="20"/>
          <w:lang w:val="en-US"/>
        </w:rPr>
        <w:t>Objective:</w:t>
      </w:r>
      <w:r w:rsidRPr="000B6A5B">
        <w:rPr>
          <w:rFonts w:ascii="Arial" w:hAnsi="Arial" w:cs="Arial"/>
          <w:sz w:val="20"/>
          <w:szCs w:val="20"/>
          <w:lang w:val="en-US"/>
        </w:rPr>
        <w:t xml:space="preserve"> This work is addressed to identify differences in psychological profile of patients with </w:t>
      </w:r>
      <w:r w:rsidR="00093100">
        <w:rPr>
          <w:rFonts w:ascii="Arial" w:hAnsi="Arial" w:cs="Arial"/>
          <w:sz w:val="20"/>
          <w:szCs w:val="20"/>
          <w:lang w:val="en-US"/>
        </w:rPr>
        <w:t>epileptic seizures (</w:t>
      </w:r>
      <w:r w:rsidRPr="000B6A5B">
        <w:rPr>
          <w:rFonts w:ascii="Arial" w:hAnsi="Arial" w:cs="Arial"/>
          <w:sz w:val="20"/>
          <w:szCs w:val="20"/>
          <w:lang w:val="en-US"/>
        </w:rPr>
        <w:t>ES</w:t>
      </w:r>
      <w:r w:rsidR="00093100">
        <w:rPr>
          <w:rFonts w:ascii="Arial" w:hAnsi="Arial" w:cs="Arial"/>
          <w:sz w:val="20"/>
          <w:szCs w:val="20"/>
          <w:lang w:val="en-US"/>
        </w:rPr>
        <w:t>)</w:t>
      </w:r>
      <w:r w:rsidRPr="000B6A5B">
        <w:rPr>
          <w:rFonts w:ascii="Arial" w:hAnsi="Arial" w:cs="Arial"/>
          <w:sz w:val="20"/>
          <w:szCs w:val="20"/>
          <w:lang w:val="en-US"/>
        </w:rPr>
        <w:t xml:space="preserve"> and </w:t>
      </w:r>
      <w:r w:rsidR="00093100">
        <w:rPr>
          <w:rFonts w:ascii="Arial" w:hAnsi="Arial" w:cs="Arial"/>
          <w:sz w:val="20"/>
          <w:szCs w:val="20"/>
          <w:lang w:val="en-US"/>
        </w:rPr>
        <w:t>psychogenic non epileptic seizures (P</w:t>
      </w:r>
      <w:r w:rsidRPr="000B6A5B">
        <w:rPr>
          <w:rFonts w:ascii="Arial" w:hAnsi="Arial" w:cs="Arial"/>
          <w:sz w:val="20"/>
          <w:szCs w:val="20"/>
          <w:lang w:val="en-US"/>
        </w:rPr>
        <w:t>NES</w:t>
      </w:r>
      <w:r w:rsidR="00093100">
        <w:rPr>
          <w:rFonts w:ascii="Arial" w:hAnsi="Arial" w:cs="Arial"/>
          <w:sz w:val="20"/>
          <w:szCs w:val="20"/>
          <w:lang w:val="en-US"/>
        </w:rPr>
        <w:t>)</w:t>
      </w:r>
      <w:r w:rsidRPr="000B6A5B">
        <w:rPr>
          <w:rFonts w:ascii="Arial" w:hAnsi="Arial" w:cs="Arial"/>
          <w:sz w:val="20"/>
          <w:szCs w:val="20"/>
          <w:lang w:val="en-US"/>
        </w:rPr>
        <w:t xml:space="preserve">. </w:t>
      </w:r>
      <w:r w:rsidRPr="000B6A5B">
        <w:rPr>
          <w:rFonts w:ascii="Arial" w:hAnsi="Arial" w:cs="Arial"/>
          <w:b/>
          <w:sz w:val="20"/>
          <w:szCs w:val="20"/>
          <w:lang w:val="en-US"/>
        </w:rPr>
        <w:t>Methods:</w:t>
      </w:r>
      <w:r>
        <w:rPr>
          <w:rFonts w:ascii="Arial" w:hAnsi="Arial" w:cs="Arial"/>
          <w:sz w:val="20"/>
          <w:szCs w:val="20"/>
          <w:lang w:val="en-US"/>
        </w:rPr>
        <w:t xml:space="preserve"> </w:t>
      </w:r>
      <w:r w:rsidRPr="000B6A5B">
        <w:rPr>
          <w:rFonts w:ascii="Arial" w:hAnsi="Arial" w:cs="Arial"/>
          <w:sz w:val="20"/>
          <w:szCs w:val="20"/>
          <w:lang w:val="en-US"/>
        </w:rPr>
        <w:t xml:space="preserve">A descriptive-correlational </w:t>
      </w:r>
      <w:r>
        <w:rPr>
          <w:rFonts w:ascii="Arial" w:hAnsi="Arial" w:cs="Arial"/>
          <w:sz w:val="20"/>
          <w:szCs w:val="20"/>
          <w:lang w:val="en-US"/>
        </w:rPr>
        <w:t xml:space="preserve">and comparative </w:t>
      </w:r>
      <w:r w:rsidRPr="000B6A5B">
        <w:rPr>
          <w:rFonts w:ascii="Arial" w:hAnsi="Arial" w:cs="Arial"/>
          <w:sz w:val="20"/>
          <w:szCs w:val="20"/>
          <w:lang w:val="en-US"/>
        </w:rPr>
        <w:t xml:space="preserve">study of 38 patients was carried out, 15 of them with ES and 23 with PNES. They were evaluated in the Neuropsychology and Neurophysiology Services of CIREN between January2001-February 2018. The tools were structured interview, scale of dissociative experiences (DES-II), coping questionnaire (Brief Cope), anxiety scale (GAD-7) and depression scale (NDDI-E). </w:t>
      </w:r>
      <w:r w:rsidRPr="000B6A5B">
        <w:rPr>
          <w:rFonts w:ascii="Arial" w:hAnsi="Arial" w:cs="Arial"/>
          <w:b/>
          <w:sz w:val="20"/>
          <w:szCs w:val="20"/>
          <w:lang w:val="en-US"/>
        </w:rPr>
        <w:t>Results:</w:t>
      </w:r>
      <w:r w:rsidRPr="000B6A5B">
        <w:rPr>
          <w:rFonts w:ascii="Arial" w:hAnsi="Arial" w:cs="Arial"/>
          <w:sz w:val="20"/>
          <w:szCs w:val="20"/>
          <w:lang w:val="en-US"/>
        </w:rPr>
        <w:t xml:space="preserve"> We found a difference between groups with ES and PNES (suspected anxiety / p = 0.03, stressors / p = 0.0</w:t>
      </w:r>
      <w:r>
        <w:rPr>
          <w:rFonts w:ascii="Arial" w:hAnsi="Arial" w:cs="Arial"/>
          <w:sz w:val="20"/>
          <w:szCs w:val="20"/>
          <w:lang w:val="en-US"/>
        </w:rPr>
        <w:t>5</w:t>
      </w:r>
      <w:r w:rsidRPr="000B6A5B">
        <w:rPr>
          <w:rFonts w:ascii="Arial" w:hAnsi="Arial" w:cs="Arial"/>
          <w:sz w:val="20"/>
          <w:szCs w:val="20"/>
          <w:lang w:val="en-US"/>
        </w:rPr>
        <w:t xml:space="preserve"> and coping / p = 0.00</w:t>
      </w:r>
      <w:r>
        <w:rPr>
          <w:rFonts w:ascii="Arial" w:hAnsi="Arial" w:cs="Arial"/>
          <w:sz w:val="20"/>
          <w:szCs w:val="20"/>
          <w:lang w:val="en-US"/>
        </w:rPr>
        <w:t>2</w:t>
      </w:r>
      <w:r w:rsidRPr="000B6A5B">
        <w:rPr>
          <w:rFonts w:ascii="Arial" w:hAnsi="Arial" w:cs="Arial"/>
          <w:sz w:val="20"/>
          <w:szCs w:val="20"/>
          <w:lang w:val="en-US"/>
        </w:rPr>
        <w:t xml:space="preserve">). A negative relationship between age and dissociative experiences (PNES Hypermotor) and a positive relationship between stressors and suspicion of depression (PNES Hypomotor) were found. </w:t>
      </w:r>
      <w:r w:rsidRPr="000B6A5B">
        <w:rPr>
          <w:rFonts w:ascii="Arial" w:hAnsi="Arial" w:cs="Arial"/>
          <w:b/>
          <w:sz w:val="20"/>
          <w:szCs w:val="20"/>
          <w:lang w:val="en-US"/>
        </w:rPr>
        <w:t>Conclusions:</w:t>
      </w:r>
      <w:r w:rsidRPr="000B6A5B">
        <w:rPr>
          <w:rFonts w:ascii="Arial" w:hAnsi="Arial" w:cs="Arial"/>
          <w:sz w:val="20"/>
          <w:szCs w:val="20"/>
          <w:lang w:val="en-US"/>
        </w:rPr>
        <w:t xml:space="preserve"> A psychological profile characterized by emotional states</w:t>
      </w:r>
      <w:r>
        <w:rPr>
          <w:rFonts w:ascii="Arial" w:hAnsi="Arial" w:cs="Arial"/>
          <w:sz w:val="20"/>
          <w:szCs w:val="20"/>
          <w:lang w:val="en-US"/>
        </w:rPr>
        <w:t>,</w:t>
      </w:r>
      <w:r w:rsidRPr="000B6A5B">
        <w:rPr>
          <w:rFonts w:ascii="Arial" w:hAnsi="Arial" w:cs="Arial"/>
          <w:sz w:val="20"/>
          <w:szCs w:val="20"/>
          <w:lang w:val="en-US"/>
        </w:rPr>
        <w:t xml:space="preserve"> unequal coping styles </w:t>
      </w:r>
      <w:r>
        <w:rPr>
          <w:rFonts w:ascii="Arial" w:hAnsi="Arial" w:cs="Arial"/>
          <w:sz w:val="20"/>
          <w:szCs w:val="20"/>
          <w:lang w:val="en-US"/>
        </w:rPr>
        <w:t xml:space="preserve">and stressors </w:t>
      </w:r>
      <w:r w:rsidRPr="000B6A5B">
        <w:rPr>
          <w:rFonts w:ascii="Arial" w:hAnsi="Arial" w:cs="Arial"/>
          <w:sz w:val="20"/>
          <w:szCs w:val="20"/>
          <w:lang w:val="en-US"/>
        </w:rPr>
        <w:t>between the ES and PNES was found in these groups. The type of PNES and its relationship with psychological variables offers practical information to redirect the comprehensive care of this group of patients. The methodology used could be a useful tool for the psychological discrimination of patients with and without epileptic seizures.</w:t>
      </w:r>
    </w:p>
    <w:p w:rsidR="000B6A5B" w:rsidRDefault="000B6A5B" w:rsidP="000B6A5B">
      <w:pPr>
        <w:spacing w:after="0" w:line="240" w:lineRule="auto"/>
        <w:jc w:val="both"/>
        <w:rPr>
          <w:rFonts w:ascii="Arial" w:hAnsi="Arial" w:cs="Arial"/>
          <w:sz w:val="20"/>
          <w:szCs w:val="20"/>
          <w:lang w:val="en-US"/>
        </w:rPr>
      </w:pPr>
    </w:p>
    <w:p w:rsidR="00393342" w:rsidRPr="000B6A5B" w:rsidRDefault="000B6A5B" w:rsidP="000B6A5B">
      <w:pPr>
        <w:spacing w:after="0" w:line="240" w:lineRule="auto"/>
        <w:jc w:val="both"/>
        <w:rPr>
          <w:rFonts w:ascii="Arial" w:hAnsi="Arial" w:cs="Arial"/>
          <w:sz w:val="20"/>
          <w:szCs w:val="20"/>
        </w:rPr>
      </w:pPr>
      <w:r w:rsidRPr="000B6A5B">
        <w:rPr>
          <w:rFonts w:ascii="Arial" w:hAnsi="Arial" w:cs="Arial"/>
          <w:b/>
          <w:sz w:val="20"/>
          <w:szCs w:val="20"/>
          <w:lang w:val="en-US"/>
        </w:rPr>
        <w:t>Keywords</w:t>
      </w:r>
      <w:r w:rsidRPr="000B6A5B">
        <w:rPr>
          <w:rFonts w:ascii="Arial" w:hAnsi="Arial" w:cs="Arial"/>
          <w:sz w:val="20"/>
          <w:szCs w:val="20"/>
          <w:lang w:val="en-US"/>
        </w:rPr>
        <w:t xml:space="preserve">: Epileptic seizures. </w:t>
      </w:r>
      <w:proofErr w:type="gramStart"/>
      <w:r w:rsidRPr="000B6A5B">
        <w:rPr>
          <w:rFonts w:ascii="Arial" w:hAnsi="Arial" w:cs="Arial"/>
          <w:sz w:val="20"/>
          <w:szCs w:val="20"/>
          <w:lang w:val="en-US"/>
        </w:rPr>
        <w:t>Psychogenic non-epileptic seizures.</w:t>
      </w:r>
      <w:proofErr w:type="gramEnd"/>
      <w:r w:rsidRPr="000B6A5B">
        <w:rPr>
          <w:rFonts w:ascii="Arial" w:hAnsi="Arial" w:cs="Arial"/>
          <w:sz w:val="20"/>
          <w:szCs w:val="20"/>
          <w:lang w:val="en-US"/>
        </w:rPr>
        <w:t xml:space="preserve"> </w:t>
      </w:r>
      <w:r w:rsidRPr="000B6A5B">
        <w:rPr>
          <w:rFonts w:ascii="Arial" w:hAnsi="Arial" w:cs="Arial"/>
          <w:sz w:val="20"/>
          <w:szCs w:val="20"/>
        </w:rPr>
        <w:t>Anxiety. Depression. Dissociative experiences. Coping.</w:t>
      </w:r>
      <w:r w:rsidR="00393342" w:rsidRPr="000B6A5B">
        <w:rPr>
          <w:rFonts w:ascii="Arial" w:hAnsi="Arial" w:cs="Arial"/>
          <w:sz w:val="20"/>
          <w:szCs w:val="20"/>
        </w:rPr>
        <w:br w:type="page"/>
      </w:r>
    </w:p>
    <w:p w:rsidR="00145C27" w:rsidRPr="009A41C3" w:rsidRDefault="00145C27" w:rsidP="009A41C3">
      <w:pPr>
        <w:pStyle w:val="Ttulo2"/>
        <w:framePr w:wrap="notBeside"/>
        <w:shd w:val="clear" w:color="auto" w:fill="F2F2F2" w:themeFill="background1" w:themeFillShade="F2"/>
        <w:jc w:val="both"/>
        <w:rPr>
          <w:rFonts w:cs="Arial"/>
          <w:szCs w:val="20"/>
        </w:rPr>
      </w:pPr>
      <w:r w:rsidRPr="009A41C3">
        <w:rPr>
          <w:rFonts w:cs="Arial"/>
          <w:szCs w:val="20"/>
        </w:rPr>
        <w:lastRenderedPageBreak/>
        <w:t>INTRODUCCIÓN</w:t>
      </w:r>
      <w:r w:rsidR="003703A1" w:rsidRPr="009A41C3">
        <w:rPr>
          <w:rFonts w:cs="Arial"/>
          <w:szCs w:val="20"/>
        </w:rPr>
        <w:t xml:space="preserve"> (Hasta 1 página)</w:t>
      </w:r>
    </w:p>
    <w:p w:rsidR="004D67A4" w:rsidRPr="009A41C3" w:rsidRDefault="004D67A4" w:rsidP="009A41C3">
      <w:pPr>
        <w:spacing w:after="0" w:line="240" w:lineRule="auto"/>
        <w:jc w:val="both"/>
        <w:rPr>
          <w:rFonts w:ascii="Arial" w:hAnsi="Arial" w:cs="Arial"/>
          <w:sz w:val="20"/>
          <w:szCs w:val="20"/>
        </w:rPr>
      </w:pPr>
      <w:r w:rsidRPr="009A41C3">
        <w:rPr>
          <w:rFonts w:ascii="Arial" w:hAnsi="Arial" w:cs="Arial"/>
          <w:sz w:val="20"/>
          <w:szCs w:val="20"/>
        </w:rPr>
        <w:t xml:space="preserve">Desde hace varias décadas el estudio de las crisis </w:t>
      </w:r>
      <w:r w:rsidR="0029278F">
        <w:rPr>
          <w:rFonts w:ascii="Arial" w:hAnsi="Arial" w:cs="Arial"/>
          <w:sz w:val="20"/>
          <w:szCs w:val="20"/>
        </w:rPr>
        <w:t>epilépticas (CE)</w:t>
      </w:r>
      <w:r w:rsidRPr="009A41C3">
        <w:rPr>
          <w:rFonts w:ascii="Arial" w:hAnsi="Arial" w:cs="Arial"/>
          <w:sz w:val="20"/>
          <w:szCs w:val="20"/>
        </w:rPr>
        <w:t xml:space="preserve"> y no epilépticas ha sido abordado desde las diferentes especialidades médicas, siendo recurrentes en las consultas de Neurología, destacándose en la actualidad insuficiente noción en cuanto al diagnóstico psicológico de estas enfermedades en nuestro ámbito de acción. </w:t>
      </w:r>
    </w:p>
    <w:p w:rsidR="004D67A4" w:rsidRPr="009A41C3" w:rsidRDefault="004D67A4" w:rsidP="009A41C3">
      <w:pPr>
        <w:spacing w:after="0" w:line="240" w:lineRule="auto"/>
        <w:jc w:val="both"/>
        <w:rPr>
          <w:rFonts w:ascii="Arial" w:hAnsi="Arial" w:cs="Arial"/>
          <w:sz w:val="20"/>
          <w:szCs w:val="20"/>
        </w:rPr>
      </w:pPr>
      <w:r w:rsidRPr="009A41C3">
        <w:rPr>
          <w:rFonts w:ascii="Arial" w:hAnsi="Arial" w:cs="Arial"/>
          <w:sz w:val="20"/>
          <w:szCs w:val="20"/>
        </w:rPr>
        <w:t>El diagnóstico diferencial de las epilepsias se pueden realiza</w:t>
      </w:r>
      <w:r w:rsidR="0029278F">
        <w:rPr>
          <w:rFonts w:ascii="Arial" w:hAnsi="Arial" w:cs="Arial"/>
          <w:sz w:val="20"/>
          <w:szCs w:val="20"/>
        </w:rPr>
        <w:t>r con varias entidades clínicas</w:t>
      </w:r>
      <w:r w:rsidR="007256D4">
        <w:rPr>
          <w:rFonts w:ascii="Arial" w:hAnsi="Arial" w:cs="Arial"/>
          <w:sz w:val="20"/>
          <w:szCs w:val="20"/>
        </w:rPr>
        <w:t xml:space="preserve"> </w:t>
      </w:r>
      <w:r w:rsidR="00D41D7D" w:rsidRPr="0029278F">
        <w:rPr>
          <w:rFonts w:ascii="Arial" w:hAnsi="Arial" w:cs="Arial"/>
          <w:sz w:val="20"/>
          <w:szCs w:val="20"/>
          <w:vertAlign w:val="superscript"/>
        </w:rPr>
        <w:t>(</w:t>
      </w:r>
      <w:r w:rsidRPr="0029278F">
        <w:rPr>
          <w:rFonts w:ascii="Arial" w:hAnsi="Arial" w:cs="Arial"/>
          <w:sz w:val="20"/>
          <w:szCs w:val="20"/>
          <w:vertAlign w:val="superscript"/>
        </w:rPr>
        <w:t>1</w:t>
      </w:r>
      <w:r w:rsidR="00D41D7D" w:rsidRPr="0029278F">
        <w:rPr>
          <w:rFonts w:ascii="Arial" w:hAnsi="Arial" w:cs="Arial"/>
          <w:sz w:val="20"/>
          <w:szCs w:val="20"/>
          <w:vertAlign w:val="superscript"/>
        </w:rPr>
        <w:t>)</w:t>
      </w:r>
      <w:r w:rsidRPr="009A41C3">
        <w:rPr>
          <w:rFonts w:ascii="Arial" w:hAnsi="Arial" w:cs="Arial"/>
          <w:sz w:val="20"/>
          <w:szCs w:val="20"/>
        </w:rPr>
        <w:t>, siendo las crisis psicógenas no epilépticas (CPnE) uno de los episodios más frecuentes y quizás los más difíciles de identificar.</w:t>
      </w:r>
    </w:p>
    <w:p w:rsidR="004D67A4" w:rsidRPr="009A41C3" w:rsidRDefault="004D67A4" w:rsidP="009A41C3">
      <w:pPr>
        <w:spacing w:after="0" w:line="240" w:lineRule="auto"/>
        <w:jc w:val="both"/>
        <w:rPr>
          <w:rFonts w:ascii="Arial" w:hAnsi="Arial" w:cs="Arial"/>
          <w:sz w:val="20"/>
          <w:szCs w:val="20"/>
        </w:rPr>
      </w:pPr>
      <w:r w:rsidRPr="009A41C3">
        <w:rPr>
          <w:rFonts w:ascii="Arial" w:hAnsi="Arial" w:cs="Arial"/>
          <w:sz w:val="20"/>
          <w:szCs w:val="20"/>
        </w:rPr>
        <w:t xml:space="preserve">El diagnóstico de las </w:t>
      </w:r>
      <w:r w:rsidR="0029278F">
        <w:rPr>
          <w:rFonts w:ascii="Arial" w:hAnsi="Arial" w:cs="Arial"/>
          <w:sz w:val="20"/>
          <w:szCs w:val="20"/>
        </w:rPr>
        <w:t>CE</w:t>
      </w:r>
      <w:r w:rsidRPr="009A41C3">
        <w:rPr>
          <w:rFonts w:ascii="Arial" w:hAnsi="Arial" w:cs="Arial"/>
          <w:sz w:val="20"/>
          <w:szCs w:val="20"/>
        </w:rPr>
        <w:t xml:space="preserve"> y de los síndromes epilépticos es generalmente electro-clínico y se utiliza el EEG convencional interictal y/o ictal, así como las clasificaciones propuestas por la Liga Internacional contra las Epilepsias 1981-1989 y 2017 (ILAE-siglas del inglés). </w:t>
      </w:r>
    </w:p>
    <w:p w:rsidR="004D67A4" w:rsidRPr="009A41C3" w:rsidRDefault="004D67A4" w:rsidP="009A41C3">
      <w:pPr>
        <w:spacing w:after="0" w:line="240" w:lineRule="auto"/>
        <w:jc w:val="both"/>
        <w:rPr>
          <w:rFonts w:ascii="Arial" w:hAnsi="Arial" w:cs="Arial"/>
          <w:sz w:val="20"/>
          <w:szCs w:val="20"/>
        </w:rPr>
      </w:pPr>
      <w:r w:rsidRPr="009A41C3">
        <w:rPr>
          <w:rFonts w:ascii="Arial" w:hAnsi="Arial" w:cs="Arial"/>
          <w:sz w:val="20"/>
          <w:szCs w:val="20"/>
        </w:rPr>
        <w:t>Por su parte el Gold estándar para realizar el diagnóstico definitivo de las CPnE lo constituye monitoreo electroencefalo</w:t>
      </w:r>
      <w:r w:rsidR="00D41D7D">
        <w:rPr>
          <w:rFonts w:ascii="Arial" w:hAnsi="Arial" w:cs="Arial"/>
          <w:sz w:val="20"/>
          <w:szCs w:val="20"/>
        </w:rPr>
        <w:t xml:space="preserve">gráfico con video (Video-EEG). </w:t>
      </w:r>
      <w:r w:rsidR="00D41D7D" w:rsidRPr="007256D4">
        <w:rPr>
          <w:rFonts w:ascii="Arial" w:hAnsi="Arial" w:cs="Arial"/>
          <w:sz w:val="20"/>
          <w:szCs w:val="20"/>
          <w:vertAlign w:val="superscript"/>
        </w:rPr>
        <w:t>(</w:t>
      </w:r>
      <w:r w:rsidRPr="007256D4">
        <w:rPr>
          <w:rFonts w:ascii="Arial" w:hAnsi="Arial" w:cs="Arial"/>
          <w:sz w:val="20"/>
          <w:szCs w:val="20"/>
          <w:vertAlign w:val="superscript"/>
        </w:rPr>
        <w:t>2</w:t>
      </w:r>
      <w:r w:rsidR="00D41D7D" w:rsidRPr="007256D4">
        <w:rPr>
          <w:rFonts w:ascii="Arial" w:hAnsi="Arial" w:cs="Arial"/>
          <w:sz w:val="20"/>
          <w:szCs w:val="20"/>
          <w:vertAlign w:val="superscript"/>
        </w:rPr>
        <w:t>)</w:t>
      </w:r>
    </w:p>
    <w:p w:rsidR="004D67A4" w:rsidRPr="009A41C3" w:rsidRDefault="004D67A4" w:rsidP="009A41C3">
      <w:pPr>
        <w:spacing w:after="0" w:line="240" w:lineRule="auto"/>
        <w:jc w:val="both"/>
        <w:rPr>
          <w:rFonts w:ascii="Arial" w:hAnsi="Arial" w:cs="Arial"/>
          <w:sz w:val="20"/>
          <w:szCs w:val="20"/>
        </w:rPr>
      </w:pPr>
      <w:r w:rsidRPr="009A41C3">
        <w:rPr>
          <w:rFonts w:ascii="Arial" w:hAnsi="Arial" w:cs="Arial"/>
          <w:sz w:val="20"/>
          <w:szCs w:val="20"/>
        </w:rPr>
        <w:t xml:space="preserve">En algunos casos coexiste el diagnóstico de CPnE con epilepsia, lo cual constituye un desafío la diferenciación y requiere de esfuerzos coordinados del médico de familia, psiquiatras, psicólogos y neurólogos. </w:t>
      </w:r>
      <w:r w:rsidR="00D41D7D" w:rsidRPr="007256D4">
        <w:rPr>
          <w:rFonts w:ascii="Arial" w:hAnsi="Arial" w:cs="Arial"/>
          <w:sz w:val="20"/>
          <w:szCs w:val="20"/>
          <w:vertAlign w:val="superscript"/>
        </w:rPr>
        <w:t>(</w:t>
      </w:r>
      <w:r w:rsidRPr="007256D4">
        <w:rPr>
          <w:rFonts w:ascii="Arial" w:hAnsi="Arial" w:cs="Arial"/>
          <w:sz w:val="20"/>
          <w:szCs w:val="20"/>
          <w:vertAlign w:val="superscript"/>
        </w:rPr>
        <w:t>3</w:t>
      </w:r>
      <w:r w:rsidR="00D41D7D" w:rsidRPr="007256D4">
        <w:rPr>
          <w:rFonts w:ascii="Arial" w:hAnsi="Arial" w:cs="Arial"/>
          <w:sz w:val="20"/>
          <w:szCs w:val="20"/>
          <w:vertAlign w:val="superscript"/>
        </w:rPr>
        <w:t>)</w:t>
      </w:r>
    </w:p>
    <w:p w:rsidR="004D67A4" w:rsidRPr="009A41C3" w:rsidRDefault="004D67A4" w:rsidP="009A41C3">
      <w:pPr>
        <w:spacing w:after="0" w:line="240" w:lineRule="auto"/>
        <w:jc w:val="both"/>
        <w:rPr>
          <w:rFonts w:ascii="Arial" w:hAnsi="Arial" w:cs="Arial"/>
          <w:sz w:val="20"/>
          <w:szCs w:val="20"/>
        </w:rPr>
      </w:pPr>
      <w:r w:rsidRPr="009A41C3">
        <w:rPr>
          <w:rFonts w:ascii="Arial" w:hAnsi="Arial" w:cs="Arial"/>
          <w:sz w:val="20"/>
          <w:szCs w:val="20"/>
        </w:rPr>
        <w:t xml:space="preserve">El análisis de aspectos clínicos y psicológicos de los pacientes con CE y CPnE ha sido abordado en el contexto internacional, identificándose en los pacientes con CPnE historias de experiencias traumáticas e inducción de crisis por eventos </w:t>
      </w:r>
      <w:r w:rsidR="00A73711">
        <w:rPr>
          <w:rFonts w:ascii="Arial" w:hAnsi="Arial" w:cs="Arial"/>
          <w:sz w:val="20"/>
          <w:szCs w:val="20"/>
        </w:rPr>
        <w:t xml:space="preserve">estresantes </w:t>
      </w:r>
      <w:r w:rsidR="00A73711" w:rsidRPr="007256D4">
        <w:rPr>
          <w:rFonts w:ascii="Arial" w:hAnsi="Arial" w:cs="Arial"/>
          <w:sz w:val="20"/>
          <w:szCs w:val="20"/>
          <w:vertAlign w:val="superscript"/>
        </w:rPr>
        <w:t>(</w:t>
      </w:r>
      <w:r w:rsidRPr="007256D4">
        <w:rPr>
          <w:rFonts w:ascii="Arial" w:hAnsi="Arial" w:cs="Arial"/>
          <w:sz w:val="20"/>
          <w:szCs w:val="20"/>
          <w:vertAlign w:val="superscript"/>
        </w:rPr>
        <w:t>4</w:t>
      </w:r>
      <w:r w:rsidR="00A73711" w:rsidRPr="007256D4">
        <w:rPr>
          <w:rFonts w:ascii="Arial" w:hAnsi="Arial" w:cs="Arial"/>
          <w:sz w:val="20"/>
          <w:szCs w:val="20"/>
          <w:vertAlign w:val="superscript"/>
        </w:rPr>
        <w:t>)</w:t>
      </w:r>
      <w:r w:rsidRPr="009A41C3">
        <w:rPr>
          <w:rFonts w:ascii="Arial" w:hAnsi="Arial" w:cs="Arial"/>
          <w:sz w:val="20"/>
          <w:szCs w:val="20"/>
        </w:rPr>
        <w:t xml:space="preserve">, además la presencia y la agudización de dificultades en el funcionamiento emocional debido </w:t>
      </w:r>
      <w:r w:rsidR="00A73711">
        <w:rPr>
          <w:rFonts w:ascii="Arial" w:hAnsi="Arial" w:cs="Arial"/>
          <w:sz w:val="20"/>
          <w:szCs w:val="20"/>
        </w:rPr>
        <w:t xml:space="preserve">a la demora en el diagnóstico. </w:t>
      </w:r>
      <w:r w:rsidR="00A73711" w:rsidRPr="007256D4">
        <w:rPr>
          <w:rFonts w:ascii="Arial" w:hAnsi="Arial" w:cs="Arial"/>
          <w:sz w:val="20"/>
          <w:szCs w:val="20"/>
          <w:vertAlign w:val="superscript"/>
        </w:rPr>
        <w:t>(</w:t>
      </w:r>
      <w:r w:rsidRPr="007256D4">
        <w:rPr>
          <w:rFonts w:ascii="Arial" w:hAnsi="Arial" w:cs="Arial"/>
          <w:sz w:val="20"/>
          <w:szCs w:val="20"/>
          <w:vertAlign w:val="superscript"/>
        </w:rPr>
        <w:t>5</w:t>
      </w:r>
      <w:r w:rsidR="00A73711" w:rsidRPr="007256D4">
        <w:rPr>
          <w:rFonts w:ascii="Arial" w:hAnsi="Arial" w:cs="Arial"/>
          <w:sz w:val="20"/>
          <w:szCs w:val="20"/>
          <w:vertAlign w:val="superscript"/>
        </w:rPr>
        <w:t>)</w:t>
      </w:r>
    </w:p>
    <w:p w:rsidR="004D67A4" w:rsidRPr="009A41C3" w:rsidRDefault="004D67A4" w:rsidP="009A41C3">
      <w:pPr>
        <w:spacing w:after="0" w:line="240" w:lineRule="auto"/>
        <w:jc w:val="both"/>
        <w:rPr>
          <w:rFonts w:ascii="Arial" w:hAnsi="Arial" w:cs="Arial"/>
          <w:sz w:val="20"/>
          <w:szCs w:val="20"/>
        </w:rPr>
      </w:pPr>
      <w:r w:rsidRPr="009A41C3">
        <w:rPr>
          <w:rFonts w:ascii="Arial" w:hAnsi="Arial" w:cs="Arial"/>
          <w:sz w:val="20"/>
          <w:szCs w:val="20"/>
        </w:rPr>
        <w:t xml:space="preserve">Otros autores han reportado factores de riesgo y comorbilidad psicopatológica en las CPnE </w:t>
      </w:r>
      <w:r w:rsidR="00A73711" w:rsidRPr="007256D4">
        <w:rPr>
          <w:rFonts w:ascii="Arial" w:hAnsi="Arial" w:cs="Arial"/>
          <w:sz w:val="20"/>
          <w:szCs w:val="20"/>
          <w:vertAlign w:val="superscript"/>
        </w:rPr>
        <w:t>(</w:t>
      </w:r>
      <w:r w:rsidRPr="007256D4">
        <w:rPr>
          <w:rFonts w:ascii="Arial" w:hAnsi="Arial" w:cs="Arial"/>
          <w:sz w:val="20"/>
          <w:szCs w:val="20"/>
          <w:vertAlign w:val="superscript"/>
        </w:rPr>
        <w:t>6</w:t>
      </w:r>
      <w:r w:rsidR="00A73711" w:rsidRPr="007256D4">
        <w:rPr>
          <w:rFonts w:ascii="Arial" w:hAnsi="Arial" w:cs="Arial"/>
          <w:sz w:val="20"/>
          <w:szCs w:val="20"/>
          <w:vertAlign w:val="superscript"/>
        </w:rPr>
        <w:t>)</w:t>
      </w:r>
      <w:r w:rsidRPr="009A41C3">
        <w:rPr>
          <w:rFonts w:ascii="Arial" w:hAnsi="Arial" w:cs="Arial"/>
          <w:sz w:val="20"/>
          <w:szCs w:val="20"/>
        </w:rPr>
        <w:t xml:space="preserve">. Además, el estudio comparativo de aspectos clínicos y demográficos entre las CE y CPnE. </w:t>
      </w:r>
      <w:r w:rsidR="00A73711" w:rsidRPr="007256D4">
        <w:rPr>
          <w:rFonts w:ascii="Arial" w:hAnsi="Arial" w:cs="Arial"/>
          <w:sz w:val="20"/>
          <w:szCs w:val="20"/>
          <w:vertAlign w:val="superscript"/>
        </w:rPr>
        <w:t>(</w:t>
      </w:r>
      <w:r w:rsidRPr="007256D4">
        <w:rPr>
          <w:rFonts w:ascii="Arial" w:hAnsi="Arial" w:cs="Arial"/>
          <w:sz w:val="20"/>
          <w:szCs w:val="20"/>
          <w:vertAlign w:val="superscript"/>
        </w:rPr>
        <w:t>7</w:t>
      </w:r>
      <w:r w:rsidR="00A73711" w:rsidRPr="007256D4">
        <w:rPr>
          <w:rFonts w:ascii="Arial" w:hAnsi="Arial" w:cs="Arial"/>
          <w:sz w:val="20"/>
          <w:szCs w:val="20"/>
          <w:vertAlign w:val="superscript"/>
        </w:rPr>
        <w:t>)</w:t>
      </w:r>
      <w:r w:rsidRPr="009A41C3">
        <w:rPr>
          <w:rFonts w:ascii="Arial" w:hAnsi="Arial" w:cs="Arial"/>
          <w:sz w:val="20"/>
          <w:szCs w:val="20"/>
        </w:rPr>
        <w:t xml:space="preserve"> </w:t>
      </w:r>
    </w:p>
    <w:p w:rsidR="004D67A4" w:rsidRPr="009A41C3" w:rsidRDefault="004D67A4" w:rsidP="009A41C3">
      <w:pPr>
        <w:spacing w:after="0" w:line="240" w:lineRule="auto"/>
        <w:jc w:val="both"/>
        <w:rPr>
          <w:rFonts w:ascii="Arial" w:hAnsi="Arial" w:cs="Arial"/>
          <w:sz w:val="20"/>
          <w:szCs w:val="20"/>
        </w:rPr>
      </w:pPr>
      <w:r w:rsidRPr="009A41C3">
        <w:rPr>
          <w:rFonts w:ascii="Arial" w:hAnsi="Arial" w:cs="Arial"/>
          <w:sz w:val="20"/>
          <w:szCs w:val="20"/>
        </w:rPr>
        <w:t>Específicamente en las CE se reportan difi</w:t>
      </w:r>
      <w:r w:rsidR="007256D4">
        <w:rPr>
          <w:rFonts w:ascii="Arial" w:hAnsi="Arial" w:cs="Arial"/>
          <w:sz w:val="20"/>
          <w:szCs w:val="20"/>
        </w:rPr>
        <w:t xml:space="preserve">cultades en la esfera emocional, </w:t>
      </w:r>
      <w:r w:rsidRPr="009A41C3">
        <w:rPr>
          <w:rFonts w:ascii="Arial" w:hAnsi="Arial" w:cs="Arial"/>
          <w:sz w:val="20"/>
          <w:szCs w:val="20"/>
        </w:rPr>
        <w:t xml:space="preserve">la ocurrencia de las crisis en diversas situaciones sin ningún desencadenante </w:t>
      </w:r>
      <w:r w:rsidR="00A73711" w:rsidRPr="007256D4">
        <w:rPr>
          <w:rFonts w:ascii="Arial" w:hAnsi="Arial" w:cs="Arial"/>
          <w:sz w:val="20"/>
          <w:szCs w:val="20"/>
          <w:vertAlign w:val="superscript"/>
        </w:rPr>
        <w:t>(</w:t>
      </w:r>
      <w:r w:rsidRPr="007256D4">
        <w:rPr>
          <w:rFonts w:ascii="Arial" w:hAnsi="Arial" w:cs="Arial"/>
          <w:sz w:val="20"/>
          <w:szCs w:val="20"/>
          <w:vertAlign w:val="superscript"/>
        </w:rPr>
        <w:t>1</w:t>
      </w:r>
      <w:r w:rsidR="00A73711" w:rsidRPr="007256D4">
        <w:rPr>
          <w:rFonts w:ascii="Arial" w:hAnsi="Arial" w:cs="Arial"/>
          <w:sz w:val="20"/>
          <w:szCs w:val="20"/>
          <w:vertAlign w:val="superscript"/>
        </w:rPr>
        <w:t>)</w:t>
      </w:r>
      <w:r w:rsidRPr="009A41C3">
        <w:rPr>
          <w:rFonts w:ascii="Arial" w:hAnsi="Arial" w:cs="Arial"/>
          <w:sz w:val="20"/>
          <w:szCs w:val="20"/>
        </w:rPr>
        <w:t xml:space="preserve">, sin embargo, otros mencionan al estrés como un precipitante de las mismas. </w:t>
      </w:r>
      <w:r w:rsidR="00A73711" w:rsidRPr="007256D4">
        <w:rPr>
          <w:rFonts w:ascii="Arial" w:hAnsi="Arial" w:cs="Arial"/>
          <w:sz w:val="20"/>
          <w:szCs w:val="20"/>
          <w:vertAlign w:val="superscript"/>
        </w:rPr>
        <w:t>(</w:t>
      </w:r>
      <w:r w:rsidRPr="007256D4">
        <w:rPr>
          <w:rFonts w:ascii="Arial" w:hAnsi="Arial" w:cs="Arial"/>
          <w:sz w:val="20"/>
          <w:szCs w:val="20"/>
          <w:vertAlign w:val="superscript"/>
        </w:rPr>
        <w:t>8</w:t>
      </w:r>
      <w:r w:rsidR="00A73711" w:rsidRPr="007256D4">
        <w:rPr>
          <w:rFonts w:ascii="Arial" w:hAnsi="Arial" w:cs="Arial"/>
          <w:sz w:val="20"/>
          <w:szCs w:val="20"/>
          <w:vertAlign w:val="superscript"/>
        </w:rPr>
        <w:t>)</w:t>
      </w:r>
      <w:r w:rsidRPr="009A41C3">
        <w:rPr>
          <w:rFonts w:ascii="Arial" w:hAnsi="Arial" w:cs="Arial"/>
          <w:sz w:val="20"/>
          <w:szCs w:val="20"/>
        </w:rPr>
        <w:t xml:space="preserve">  </w:t>
      </w:r>
    </w:p>
    <w:p w:rsidR="004D67A4" w:rsidRPr="009A41C3" w:rsidRDefault="004D67A4" w:rsidP="009A41C3">
      <w:pPr>
        <w:spacing w:after="0" w:line="240" w:lineRule="auto"/>
        <w:jc w:val="both"/>
        <w:rPr>
          <w:rFonts w:ascii="Arial" w:hAnsi="Arial" w:cs="Arial"/>
          <w:sz w:val="20"/>
          <w:szCs w:val="20"/>
        </w:rPr>
      </w:pPr>
      <w:r w:rsidRPr="009A41C3">
        <w:rPr>
          <w:rFonts w:ascii="Arial" w:hAnsi="Arial" w:cs="Arial"/>
          <w:sz w:val="20"/>
          <w:szCs w:val="20"/>
        </w:rPr>
        <w:t>A pesar de estos hallazgos mencionados con anterioridad, el estudio comparativo desde el punto de vista psicológico de los pacientes con CE y CPnE, así como los factores desencadenantes de los mismos y las posibles correlaciones entre variables clínicas y psicológicas ha sido poco abordado en el contexto cubano, por lo que este tema es novedoso en la actualidad.</w:t>
      </w:r>
      <w:r w:rsidR="007256D4">
        <w:rPr>
          <w:rFonts w:ascii="Arial" w:hAnsi="Arial" w:cs="Arial"/>
          <w:sz w:val="20"/>
          <w:szCs w:val="20"/>
        </w:rPr>
        <w:t xml:space="preserve"> </w:t>
      </w:r>
      <w:r w:rsidRPr="009A41C3">
        <w:rPr>
          <w:rFonts w:ascii="Arial" w:hAnsi="Arial" w:cs="Arial"/>
          <w:sz w:val="20"/>
          <w:szCs w:val="20"/>
        </w:rPr>
        <w:t xml:space="preserve">Por consiguiente, este estudio puede ser útil por la sistematización del conocimiento sobre esta temática, además, a partir de los resultados obtenidos se ofrecería una posible herramienta metodológica discriminatoria desde el punto psicológico entre las CE y CPnE. Además, se pudieran elaborar estrategias de intervención efectivas lo cual contribuiría a mejorar la calidad de vida de estas entidades nosológicas. </w:t>
      </w:r>
    </w:p>
    <w:p w:rsidR="003703A1" w:rsidRPr="009A41C3" w:rsidRDefault="003703A1" w:rsidP="009A41C3">
      <w:pPr>
        <w:spacing w:after="0" w:line="240" w:lineRule="auto"/>
        <w:jc w:val="both"/>
        <w:rPr>
          <w:rFonts w:ascii="Arial" w:hAnsi="Arial" w:cs="Arial"/>
          <w:sz w:val="20"/>
          <w:szCs w:val="20"/>
        </w:rPr>
      </w:pPr>
    </w:p>
    <w:p w:rsidR="006B1097" w:rsidRPr="009A41C3" w:rsidRDefault="003703A1" w:rsidP="009A41C3">
      <w:pPr>
        <w:pStyle w:val="Ttulo3"/>
        <w:framePr w:wrap="notBeside"/>
        <w:shd w:val="clear" w:color="auto" w:fill="F2F2F2" w:themeFill="background1" w:themeFillShade="F2"/>
        <w:jc w:val="both"/>
        <w:rPr>
          <w:rFonts w:cs="Arial"/>
          <w:szCs w:val="20"/>
        </w:rPr>
      </w:pPr>
      <w:r w:rsidRPr="009A41C3">
        <w:rPr>
          <w:rFonts w:cs="Arial"/>
          <w:szCs w:val="20"/>
        </w:rPr>
        <w:t>Objetivo (Solo 1 objetivo general)</w:t>
      </w:r>
    </w:p>
    <w:p w:rsidR="00C92F8C" w:rsidRPr="009A41C3" w:rsidRDefault="003D4193" w:rsidP="009A41C3">
      <w:pPr>
        <w:pStyle w:val="Sinespaciado"/>
        <w:jc w:val="both"/>
        <w:rPr>
          <w:rFonts w:cs="Arial"/>
          <w:szCs w:val="20"/>
        </w:rPr>
      </w:pPr>
      <w:r w:rsidRPr="009A41C3">
        <w:rPr>
          <w:rFonts w:cs="Arial"/>
          <w:szCs w:val="20"/>
        </w:rPr>
        <w:t xml:space="preserve">Esta investigación tiene el objetivo de </w:t>
      </w:r>
      <w:r w:rsidR="004D67A4" w:rsidRPr="009A41C3">
        <w:rPr>
          <w:rFonts w:cs="Arial"/>
          <w:szCs w:val="20"/>
        </w:rPr>
        <w:t>identificar las diferencias en el perfil psicológico de los pacientes con CE y CPnE.</w:t>
      </w:r>
    </w:p>
    <w:p w:rsidR="004D67A4" w:rsidRPr="009A41C3" w:rsidRDefault="004D67A4" w:rsidP="009A41C3">
      <w:pPr>
        <w:pStyle w:val="Sinespaciado"/>
        <w:jc w:val="both"/>
        <w:rPr>
          <w:rFonts w:cs="Arial"/>
          <w:szCs w:val="20"/>
        </w:rPr>
      </w:pPr>
    </w:p>
    <w:p w:rsidR="00C92F8C" w:rsidRPr="009A41C3" w:rsidRDefault="00C92F8C" w:rsidP="009A41C3">
      <w:pPr>
        <w:pStyle w:val="Ttulo2"/>
        <w:framePr w:wrap="notBeside"/>
        <w:shd w:val="clear" w:color="auto" w:fill="F2F2F2" w:themeFill="background1" w:themeFillShade="F2"/>
        <w:jc w:val="both"/>
        <w:rPr>
          <w:rFonts w:cs="Arial"/>
          <w:szCs w:val="20"/>
        </w:rPr>
      </w:pPr>
      <w:r w:rsidRPr="009A41C3">
        <w:rPr>
          <w:rFonts w:cs="Arial"/>
          <w:szCs w:val="20"/>
        </w:rPr>
        <w:t>MÉTODOS</w:t>
      </w:r>
    </w:p>
    <w:p w:rsidR="003703A1" w:rsidRPr="009A41C3" w:rsidRDefault="00C92F8C" w:rsidP="009A41C3">
      <w:pPr>
        <w:pStyle w:val="Ttulo3"/>
        <w:framePr w:wrap="notBeside"/>
        <w:shd w:val="clear" w:color="auto" w:fill="F2F2F2" w:themeFill="background1" w:themeFillShade="F2"/>
        <w:jc w:val="both"/>
        <w:rPr>
          <w:rFonts w:cs="Arial"/>
          <w:szCs w:val="20"/>
        </w:rPr>
      </w:pPr>
      <w:r w:rsidRPr="009A41C3">
        <w:rPr>
          <w:rFonts w:cs="Arial"/>
          <w:szCs w:val="20"/>
        </w:rPr>
        <w:t>Diseño, contexto y participantes (Hasta 1 página)</w:t>
      </w:r>
    </w:p>
    <w:p w:rsidR="004D67A4" w:rsidRPr="009A41C3" w:rsidRDefault="009F4086" w:rsidP="009A41C3">
      <w:pPr>
        <w:spacing w:after="0" w:line="240" w:lineRule="auto"/>
        <w:jc w:val="both"/>
        <w:rPr>
          <w:rFonts w:ascii="Arial" w:hAnsi="Arial" w:cs="Arial"/>
          <w:sz w:val="20"/>
          <w:szCs w:val="20"/>
        </w:rPr>
      </w:pPr>
      <w:r>
        <w:rPr>
          <w:rFonts w:ascii="Arial" w:hAnsi="Arial" w:cs="Arial"/>
          <w:sz w:val="20"/>
          <w:szCs w:val="20"/>
        </w:rPr>
        <w:t>Fueron valorados por los Ser</w:t>
      </w:r>
      <w:r w:rsidR="004D67A4" w:rsidRPr="009A41C3">
        <w:rPr>
          <w:rFonts w:ascii="Arial" w:hAnsi="Arial" w:cs="Arial"/>
          <w:sz w:val="20"/>
          <w:szCs w:val="20"/>
        </w:rPr>
        <w:t>vicio</w:t>
      </w:r>
      <w:r>
        <w:rPr>
          <w:rFonts w:ascii="Arial" w:hAnsi="Arial" w:cs="Arial"/>
          <w:sz w:val="20"/>
          <w:szCs w:val="20"/>
        </w:rPr>
        <w:t>s</w:t>
      </w:r>
      <w:r w:rsidR="004D67A4" w:rsidRPr="009A41C3">
        <w:rPr>
          <w:rFonts w:ascii="Arial" w:hAnsi="Arial" w:cs="Arial"/>
          <w:sz w:val="20"/>
          <w:szCs w:val="20"/>
        </w:rPr>
        <w:t xml:space="preserve"> de Neuropsicología </w:t>
      </w:r>
      <w:r>
        <w:rPr>
          <w:rFonts w:ascii="Arial" w:hAnsi="Arial" w:cs="Arial"/>
          <w:sz w:val="20"/>
          <w:szCs w:val="20"/>
        </w:rPr>
        <w:t xml:space="preserve">y Neurofisiología Clínica </w:t>
      </w:r>
      <w:r w:rsidR="004D67A4" w:rsidRPr="009A41C3">
        <w:rPr>
          <w:rFonts w:ascii="Arial" w:hAnsi="Arial" w:cs="Arial"/>
          <w:sz w:val="20"/>
          <w:szCs w:val="20"/>
        </w:rPr>
        <w:t xml:space="preserve">del Centro Internacional de Restauración Neurológica (CIREN) un total de 38 pacientes en el periodo enero 2001 a febrero 2018, con un rango de edad entre 13 y 61 años, con diagnóstico positivo de CE (n=15) y CPnE (n=23).  A estos pacientes se les aplicó una batería de técnicas para identificar el perfil psicológico (estados emocionales, afrontamiento, experiencias disociativas y los agentes estresores). </w:t>
      </w:r>
    </w:p>
    <w:p w:rsidR="004D67A4" w:rsidRPr="009A41C3" w:rsidRDefault="004D67A4" w:rsidP="009A41C3">
      <w:pPr>
        <w:spacing w:after="0" w:line="240" w:lineRule="auto"/>
        <w:jc w:val="both"/>
        <w:rPr>
          <w:rFonts w:ascii="Arial" w:hAnsi="Arial" w:cs="Arial"/>
          <w:sz w:val="20"/>
          <w:szCs w:val="20"/>
        </w:rPr>
      </w:pPr>
    </w:p>
    <w:p w:rsidR="004D67A4" w:rsidRPr="009A41C3" w:rsidRDefault="004D67A4" w:rsidP="009A41C3">
      <w:pPr>
        <w:spacing w:after="0" w:line="240" w:lineRule="auto"/>
        <w:jc w:val="both"/>
        <w:rPr>
          <w:rFonts w:ascii="Arial" w:hAnsi="Arial" w:cs="Arial"/>
          <w:sz w:val="20"/>
          <w:szCs w:val="20"/>
        </w:rPr>
      </w:pPr>
      <w:r w:rsidRPr="009A41C3">
        <w:rPr>
          <w:rFonts w:ascii="Arial" w:hAnsi="Arial" w:cs="Arial"/>
          <w:sz w:val="20"/>
          <w:szCs w:val="20"/>
        </w:rPr>
        <w:t xml:space="preserve">Criterios de inclusión y exclusión: </w:t>
      </w:r>
    </w:p>
    <w:p w:rsidR="004D67A4" w:rsidRPr="009A41C3" w:rsidRDefault="004D67A4" w:rsidP="009A41C3">
      <w:pPr>
        <w:spacing w:after="0" w:line="240" w:lineRule="auto"/>
        <w:jc w:val="both"/>
        <w:rPr>
          <w:rFonts w:ascii="Arial" w:hAnsi="Arial" w:cs="Arial"/>
          <w:sz w:val="20"/>
          <w:szCs w:val="20"/>
        </w:rPr>
      </w:pPr>
      <w:r w:rsidRPr="009A41C3">
        <w:rPr>
          <w:rFonts w:ascii="Arial" w:hAnsi="Arial" w:cs="Arial"/>
          <w:sz w:val="20"/>
          <w:szCs w:val="20"/>
        </w:rPr>
        <w:t xml:space="preserve"> Inclusión</w:t>
      </w:r>
    </w:p>
    <w:p w:rsidR="004D67A4" w:rsidRPr="009A41C3" w:rsidRDefault="004D67A4" w:rsidP="009A41C3">
      <w:pPr>
        <w:spacing w:after="0" w:line="240" w:lineRule="auto"/>
        <w:jc w:val="both"/>
        <w:rPr>
          <w:rFonts w:ascii="Arial" w:hAnsi="Arial" w:cs="Arial"/>
          <w:sz w:val="20"/>
          <w:szCs w:val="20"/>
        </w:rPr>
      </w:pPr>
      <w:r w:rsidRPr="009A41C3">
        <w:rPr>
          <w:rFonts w:ascii="Arial" w:hAnsi="Arial" w:cs="Arial"/>
          <w:sz w:val="20"/>
          <w:szCs w:val="20"/>
        </w:rPr>
        <w:t>1.</w:t>
      </w:r>
      <w:r w:rsidRPr="009A41C3">
        <w:rPr>
          <w:rFonts w:ascii="Arial" w:hAnsi="Arial" w:cs="Arial"/>
          <w:sz w:val="20"/>
          <w:szCs w:val="20"/>
        </w:rPr>
        <w:tab/>
        <w:t xml:space="preserve">Pacientes ubicados en cualquier grupo del desarrollo humano o rango de edad. </w:t>
      </w:r>
    </w:p>
    <w:p w:rsidR="004D67A4" w:rsidRPr="009A41C3" w:rsidRDefault="004D67A4" w:rsidP="009A41C3">
      <w:pPr>
        <w:spacing w:after="0" w:line="240" w:lineRule="auto"/>
        <w:jc w:val="both"/>
        <w:rPr>
          <w:rFonts w:ascii="Arial" w:hAnsi="Arial" w:cs="Arial"/>
          <w:sz w:val="20"/>
          <w:szCs w:val="20"/>
        </w:rPr>
      </w:pPr>
      <w:r w:rsidRPr="009A41C3">
        <w:rPr>
          <w:rFonts w:ascii="Arial" w:hAnsi="Arial" w:cs="Arial"/>
          <w:sz w:val="20"/>
          <w:szCs w:val="20"/>
        </w:rPr>
        <w:t>2.</w:t>
      </w:r>
      <w:r w:rsidRPr="009A41C3">
        <w:rPr>
          <w:rFonts w:ascii="Arial" w:hAnsi="Arial" w:cs="Arial"/>
          <w:sz w:val="20"/>
          <w:szCs w:val="20"/>
        </w:rPr>
        <w:tab/>
        <w:t>Pacientes que hayan asistido a consulta de Neuropsicología y hayan completado todas las evaluaciones psicológicas y las entrevistas planificadas.</w:t>
      </w:r>
    </w:p>
    <w:p w:rsidR="004D67A4" w:rsidRPr="009A41C3" w:rsidRDefault="004D67A4" w:rsidP="009A41C3">
      <w:pPr>
        <w:spacing w:after="0" w:line="240" w:lineRule="auto"/>
        <w:jc w:val="both"/>
        <w:rPr>
          <w:rFonts w:ascii="Arial" w:hAnsi="Arial" w:cs="Arial"/>
          <w:sz w:val="20"/>
          <w:szCs w:val="20"/>
        </w:rPr>
      </w:pPr>
      <w:r w:rsidRPr="009A41C3">
        <w:rPr>
          <w:rFonts w:ascii="Arial" w:hAnsi="Arial" w:cs="Arial"/>
          <w:sz w:val="20"/>
          <w:szCs w:val="20"/>
        </w:rPr>
        <w:t>3.</w:t>
      </w:r>
      <w:r w:rsidRPr="009A41C3">
        <w:rPr>
          <w:rFonts w:ascii="Arial" w:hAnsi="Arial" w:cs="Arial"/>
          <w:sz w:val="20"/>
          <w:szCs w:val="20"/>
        </w:rPr>
        <w:tab/>
        <w:t xml:space="preserve">Pacientes que hayan dado su consentimiento a participar en la investigación (en el caso de los niños se requirió del consentimiento de los padres). </w:t>
      </w:r>
    </w:p>
    <w:p w:rsidR="004D67A4" w:rsidRPr="009A41C3" w:rsidRDefault="004D67A4" w:rsidP="009A41C3">
      <w:pPr>
        <w:spacing w:after="0" w:line="240" w:lineRule="auto"/>
        <w:jc w:val="both"/>
        <w:rPr>
          <w:rFonts w:ascii="Arial" w:hAnsi="Arial" w:cs="Arial"/>
          <w:sz w:val="20"/>
          <w:szCs w:val="20"/>
        </w:rPr>
      </w:pPr>
      <w:r w:rsidRPr="009A41C3">
        <w:rPr>
          <w:rFonts w:ascii="Arial" w:hAnsi="Arial" w:cs="Arial"/>
          <w:sz w:val="20"/>
          <w:szCs w:val="20"/>
        </w:rPr>
        <w:t>4.</w:t>
      </w:r>
      <w:r w:rsidRPr="009A41C3">
        <w:rPr>
          <w:rFonts w:ascii="Arial" w:hAnsi="Arial" w:cs="Arial"/>
          <w:sz w:val="20"/>
          <w:szCs w:val="20"/>
        </w:rPr>
        <w:tab/>
        <w:t xml:space="preserve">Pacientes con diagnóstico positivo de CE y CPnE en el servicio de Neurofisiología de nuestro centro a partir de los siguientes criterios de confirmación: </w:t>
      </w:r>
    </w:p>
    <w:p w:rsidR="004D67A4" w:rsidRPr="009A41C3" w:rsidRDefault="004D67A4" w:rsidP="009A41C3">
      <w:pPr>
        <w:spacing w:after="0" w:line="240" w:lineRule="auto"/>
        <w:jc w:val="both"/>
        <w:rPr>
          <w:rFonts w:ascii="Arial" w:hAnsi="Arial" w:cs="Arial"/>
          <w:sz w:val="20"/>
          <w:szCs w:val="20"/>
        </w:rPr>
      </w:pPr>
    </w:p>
    <w:p w:rsidR="004D67A4" w:rsidRPr="009A41C3" w:rsidRDefault="004D67A4" w:rsidP="009A41C3">
      <w:pPr>
        <w:spacing w:after="0" w:line="240" w:lineRule="auto"/>
        <w:jc w:val="both"/>
        <w:rPr>
          <w:rFonts w:ascii="Arial" w:hAnsi="Arial" w:cs="Arial"/>
          <w:sz w:val="20"/>
          <w:szCs w:val="20"/>
        </w:rPr>
      </w:pPr>
      <w:r w:rsidRPr="009A41C3">
        <w:rPr>
          <w:rFonts w:ascii="Arial" w:hAnsi="Arial" w:cs="Arial"/>
          <w:sz w:val="20"/>
          <w:szCs w:val="20"/>
        </w:rPr>
        <w:t>Los criterios diagnósticos de las CE:</w:t>
      </w:r>
      <w:r w:rsidR="00A73711">
        <w:rPr>
          <w:rFonts w:ascii="Arial" w:hAnsi="Arial" w:cs="Arial"/>
          <w:sz w:val="20"/>
          <w:szCs w:val="20"/>
        </w:rPr>
        <w:t xml:space="preserve"> </w:t>
      </w:r>
      <w:r w:rsidRPr="009A41C3">
        <w:rPr>
          <w:rFonts w:ascii="Arial" w:hAnsi="Arial" w:cs="Arial"/>
          <w:sz w:val="20"/>
          <w:szCs w:val="20"/>
        </w:rPr>
        <w:t xml:space="preserve">Que el EEG sea informado por el especialista en Neurofisiología clínica con resultados positivos o no, y que las crisis de origen epiléptica (observadas por el especialista o reportadas por el </w:t>
      </w:r>
      <w:r w:rsidRPr="009A41C3">
        <w:rPr>
          <w:rFonts w:ascii="Arial" w:hAnsi="Arial" w:cs="Arial"/>
          <w:sz w:val="20"/>
          <w:szCs w:val="20"/>
        </w:rPr>
        <w:lastRenderedPageBreak/>
        <w:t xml:space="preserve">paciente y su familiar) tengan las siguientes características: duración habitual menor de 2 a 3 minutos, comienzo súbito, desencadenante infrecuente, lugar de presentación variable, raro movimientos asincrónico de extremidades,  rara lateralización de la cara hacia ambos lados, raro llanto, común presencia de cianosis, común la confusión postictal,  raro el cierre forzado de los ojos, raro la resistencia a abrir los parpados y comúnmente existe traumatismo. </w:t>
      </w:r>
      <w:r w:rsidR="00A73711" w:rsidRPr="009F4086">
        <w:rPr>
          <w:rFonts w:ascii="Arial" w:hAnsi="Arial" w:cs="Arial"/>
          <w:sz w:val="20"/>
          <w:szCs w:val="20"/>
          <w:vertAlign w:val="superscript"/>
        </w:rPr>
        <w:t>(</w:t>
      </w:r>
      <w:r w:rsidRPr="009F4086">
        <w:rPr>
          <w:rFonts w:ascii="Arial" w:hAnsi="Arial" w:cs="Arial"/>
          <w:sz w:val="20"/>
          <w:szCs w:val="20"/>
          <w:vertAlign w:val="superscript"/>
        </w:rPr>
        <w:t>1</w:t>
      </w:r>
      <w:r w:rsidR="00A73711" w:rsidRPr="009F4086">
        <w:rPr>
          <w:rFonts w:ascii="Arial" w:hAnsi="Arial" w:cs="Arial"/>
          <w:sz w:val="20"/>
          <w:szCs w:val="20"/>
          <w:vertAlign w:val="superscript"/>
        </w:rPr>
        <w:t>)</w:t>
      </w:r>
    </w:p>
    <w:p w:rsidR="004D67A4" w:rsidRPr="009A41C3" w:rsidRDefault="004D67A4" w:rsidP="009A41C3">
      <w:pPr>
        <w:spacing w:after="0" w:line="240" w:lineRule="auto"/>
        <w:jc w:val="both"/>
        <w:rPr>
          <w:rFonts w:ascii="Arial" w:hAnsi="Arial" w:cs="Arial"/>
          <w:sz w:val="20"/>
          <w:szCs w:val="20"/>
        </w:rPr>
      </w:pPr>
      <w:r w:rsidRPr="009A41C3">
        <w:rPr>
          <w:rFonts w:ascii="Arial" w:hAnsi="Arial" w:cs="Arial"/>
          <w:sz w:val="20"/>
          <w:szCs w:val="20"/>
        </w:rPr>
        <w:t>Criterios de confirmación de las CPnE:</w:t>
      </w:r>
      <w:r w:rsidR="00A73711">
        <w:rPr>
          <w:rFonts w:ascii="Arial" w:hAnsi="Arial" w:cs="Arial"/>
          <w:sz w:val="20"/>
          <w:szCs w:val="20"/>
        </w:rPr>
        <w:t xml:space="preserve"> </w:t>
      </w:r>
      <w:r w:rsidRPr="009A41C3">
        <w:rPr>
          <w:rFonts w:ascii="Arial" w:hAnsi="Arial" w:cs="Arial"/>
          <w:sz w:val="20"/>
          <w:szCs w:val="20"/>
        </w:rPr>
        <w:t>Que el paciente reproduzca las crisis habituales durante la realización del Video EEG y EEG convencional con técnicas sugestivas y/o placebo. Lo cual consiste en la sugestión verbal enfatizando en las características clínicas de las CPnE, foto estimulación, hiperventilación, conteo regresivo 100-1.</w:t>
      </w:r>
    </w:p>
    <w:p w:rsidR="004D67A4" w:rsidRPr="009A41C3" w:rsidRDefault="004D67A4" w:rsidP="009A41C3">
      <w:pPr>
        <w:spacing w:after="0" w:line="240" w:lineRule="auto"/>
        <w:jc w:val="both"/>
        <w:rPr>
          <w:rFonts w:ascii="Arial" w:hAnsi="Arial" w:cs="Arial"/>
          <w:sz w:val="20"/>
          <w:szCs w:val="20"/>
        </w:rPr>
      </w:pPr>
      <w:r w:rsidRPr="009A41C3">
        <w:rPr>
          <w:rFonts w:ascii="Arial" w:hAnsi="Arial" w:cs="Arial"/>
          <w:sz w:val="20"/>
          <w:szCs w:val="20"/>
        </w:rPr>
        <w:t xml:space="preserve">Exclusión: </w:t>
      </w:r>
      <w:r w:rsidR="00C32170">
        <w:rPr>
          <w:rFonts w:ascii="Arial" w:hAnsi="Arial" w:cs="Arial"/>
          <w:sz w:val="20"/>
          <w:szCs w:val="20"/>
        </w:rPr>
        <w:t xml:space="preserve">Se excluyeron </w:t>
      </w:r>
      <w:r w:rsidRPr="009A41C3">
        <w:rPr>
          <w:rFonts w:ascii="Arial" w:hAnsi="Arial" w:cs="Arial"/>
          <w:sz w:val="20"/>
          <w:szCs w:val="20"/>
        </w:rPr>
        <w:t>los pacientes que no cumpl</w:t>
      </w:r>
      <w:r w:rsidR="00C32170">
        <w:rPr>
          <w:rFonts w:ascii="Arial" w:hAnsi="Arial" w:cs="Arial"/>
          <w:sz w:val="20"/>
          <w:szCs w:val="20"/>
        </w:rPr>
        <w:t>ieron</w:t>
      </w:r>
      <w:r w:rsidRPr="009A41C3">
        <w:rPr>
          <w:rFonts w:ascii="Arial" w:hAnsi="Arial" w:cs="Arial"/>
          <w:sz w:val="20"/>
          <w:szCs w:val="20"/>
        </w:rPr>
        <w:t xml:space="preserve"> los criterios referidos con anterioridad y que no </w:t>
      </w:r>
      <w:r w:rsidR="00C32170">
        <w:rPr>
          <w:rFonts w:ascii="Arial" w:hAnsi="Arial" w:cs="Arial"/>
          <w:sz w:val="20"/>
          <w:szCs w:val="20"/>
        </w:rPr>
        <w:t>dieran</w:t>
      </w:r>
      <w:r w:rsidRPr="009A41C3">
        <w:rPr>
          <w:rFonts w:ascii="Arial" w:hAnsi="Arial" w:cs="Arial"/>
          <w:sz w:val="20"/>
          <w:szCs w:val="20"/>
        </w:rPr>
        <w:t xml:space="preserve"> su consentimiento a cooperar con el estudio y en el caso de los niños que los padres se negaran en la realización de las pruebas.</w:t>
      </w:r>
    </w:p>
    <w:p w:rsidR="00044B21" w:rsidRPr="009A41C3" w:rsidRDefault="00044B21" w:rsidP="009A41C3">
      <w:pPr>
        <w:spacing w:after="0" w:line="240" w:lineRule="auto"/>
        <w:jc w:val="both"/>
        <w:rPr>
          <w:rFonts w:ascii="Arial" w:hAnsi="Arial" w:cs="Arial"/>
          <w:sz w:val="20"/>
          <w:szCs w:val="20"/>
        </w:rPr>
      </w:pPr>
    </w:p>
    <w:p w:rsidR="00A952BC" w:rsidRPr="009A41C3" w:rsidRDefault="00A952BC" w:rsidP="009A41C3">
      <w:pPr>
        <w:pStyle w:val="Ttulo3"/>
        <w:framePr w:wrap="notBeside"/>
        <w:shd w:val="clear" w:color="auto" w:fill="F2F2F2" w:themeFill="background1" w:themeFillShade="F2"/>
        <w:jc w:val="both"/>
        <w:rPr>
          <w:rFonts w:cs="Arial"/>
          <w:szCs w:val="20"/>
        </w:rPr>
      </w:pPr>
      <w:r w:rsidRPr="009A41C3">
        <w:rPr>
          <w:rFonts w:cs="Arial"/>
          <w:szCs w:val="20"/>
        </w:rPr>
        <w:t>Variables (De 1 a 2 páginas)</w:t>
      </w:r>
    </w:p>
    <w:p w:rsidR="004D67A4" w:rsidRPr="009A41C3" w:rsidRDefault="004D67A4" w:rsidP="009A41C3">
      <w:pPr>
        <w:spacing w:after="0" w:line="240" w:lineRule="auto"/>
        <w:jc w:val="both"/>
        <w:rPr>
          <w:rFonts w:ascii="Arial" w:hAnsi="Arial" w:cs="Arial"/>
          <w:sz w:val="20"/>
          <w:szCs w:val="20"/>
        </w:rPr>
      </w:pPr>
      <w:r w:rsidRPr="002823F6">
        <w:rPr>
          <w:rFonts w:ascii="Arial" w:hAnsi="Arial" w:cs="Arial"/>
          <w:i/>
          <w:sz w:val="20"/>
          <w:szCs w:val="20"/>
        </w:rPr>
        <w:t>Variables demográficas</w:t>
      </w:r>
      <w:r w:rsidRPr="009A41C3">
        <w:rPr>
          <w:rFonts w:ascii="Arial" w:hAnsi="Arial" w:cs="Arial"/>
          <w:sz w:val="20"/>
          <w:szCs w:val="20"/>
        </w:rPr>
        <w:t xml:space="preserve">: </w:t>
      </w:r>
      <w:r w:rsidR="00B6745D">
        <w:rPr>
          <w:rFonts w:ascii="Arial" w:hAnsi="Arial" w:cs="Arial"/>
          <w:sz w:val="20"/>
          <w:szCs w:val="20"/>
        </w:rPr>
        <w:t>E</w:t>
      </w:r>
      <w:r w:rsidRPr="009A41C3">
        <w:rPr>
          <w:rFonts w:ascii="Arial" w:hAnsi="Arial" w:cs="Arial"/>
          <w:sz w:val="20"/>
          <w:szCs w:val="20"/>
        </w:rPr>
        <w:t>dad y sexo.</w:t>
      </w:r>
    </w:p>
    <w:p w:rsidR="00B6745D" w:rsidRDefault="004D67A4" w:rsidP="009A41C3">
      <w:pPr>
        <w:spacing w:after="0" w:line="240" w:lineRule="auto"/>
        <w:jc w:val="both"/>
        <w:rPr>
          <w:rFonts w:ascii="Arial" w:hAnsi="Arial" w:cs="Arial"/>
          <w:sz w:val="20"/>
          <w:szCs w:val="20"/>
        </w:rPr>
      </w:pPr>
      <w:r w:rsidRPr="009A41C3">
        <w:rPr>
          <w:rFonts w:ascii="Arial" w:hAnsi="Arial" w:cs="Arial"/>
          <w:sz w:val="20"/>
          <w:szCs w:val="20"/>
        </w:rPr>
        <w:t>La edad</w:t>
      </w:r>
      <w:r w:rsidR="00B6745D">
        <w:rPr>
          <w:rFonts w:ascii="Arial" w:hAnsi="Arial" w:cs="Arial"/>
          <w:sz w:val="20"/>
          <w:szCs w:val="20"/>
        </w:rPr>
        <w:t xml:space="preserve">: </w:t>
      </w:r>
      <w:r w:rsidRPr="009A41C3">
        <w:rPr>
          <w:rFonts w:ascii="Arial" w:hAnsi="Arial" w:cs="Arial"/>
          <w:sz w:val="20"/>
          <w:szCs w:val="20"/>
        </w:rPr>
        <w:t xml:space="preserve">indicadores: Adolescencia (12 a 17 años), Juventud (18 a 24 años), Adultos jóvenes (25 a 40 años), Adultos intermedios (41 a 61 años). </w:t>
      </w:r>
    </w:p>
    <w:p w:rsidR="00B6745D" w:rsidRDefault="00B6745D" w:rsidP="009A41C3">
      <w:pPr>
        <w:spacing w:after="0" w:line="240" w:lineRule="auto"/>
        <w:jc w:val="both"/>
        <w:rPr>
          <w:rFonts w:ascii="Arial" w:hAnsi="Arial" w:cs="Arial"/>
          <w:sz w:val="20"/>
          <w:szCs w:val="20"/>
        </w:rPr>
      </w:pPr>
      <w:r>
        <w:rPr>
          <w:rFonts w:ascii="Arial" w:hAnsi="Arial" w:cs="Arial"/>
          <w:sz w:val="20"/>
          <w:szCs w:val="20"/>
        </w:rPr>
        <w:t xml:space="preserve">Sexo: </w:t>
      </w:r>
      <w:r w:rsidR="004D67A4" w:rsidRPr="009A41C3">
        <w:rPr>
          <w:rFonts w:ascii="Arial" w:hAnsi="Arial" w:cs="Arial"/>
          <w:sz w:val="20"/>
          <w:szCs w:val="20"/>
        </w:rPr>
        <w:t>indicadores</w:t>
      </w:r>
      <w:r>
        <w:rPr>
          <w:rFonts w:ascii="Arial" w:hAnsi="Arial" w:cs="Arial"/>
          <w:sz w:val="20"/>
          <w:szCs w:val="20"/>
        </w:rPr>
        <w:t>: F</w:t>
      </w:r>
      <w:r w:rsidR="004D67A4" w:rsidRPr="009A41C3">
        <w:rPr>
          <w:rFonts w:ascii="Arial" w:hAnsi="Arial" w:cs="Arial"/>
          <w:sz w:val="20"/>
          <w:szCs w:val="20"/>
        </w:rPr>
        <w:t xml:space="preserve">emenino y masculino. </w:t>
      </w:r>
    </w:p>
    <w:p w:rsidR="004D67A4" w:rsidRPr="009A41C3" w:rsidRDefault="00B6745D" w:rsidP="009A41C3">
      <w:pPr>
        <w:spacing w:after="0" w:line="240" w:lineRule="auto"/>
        <w:jc w:val="both"/>
        <w:rPr>
          <w:rFonts w:ascii="Arial" w:hAnsi="Arial" w:cs="Arial"/>
          <w:sz w:val="20"/>
          <w:szCs w:val="20"/>
        </w:rPr>
      </w:pPr>
      <w:r>
        <w:rPr>
          <w:rFonts w:ascii="Arial" w:hAnsi="Arial" w:cs="Arial"/>
          <w:sz w:val="20"/>
          <w:szCs w:val="20"/>
        </w:rPr>
        <w:t xml:space="preserve">Tanto el sexo como la edad </w:t>
      </w:r>
      <w:r w:rsidR="004D67A4" w:rsidRPr="009A41C3">
        <w:rPr>
          <w:rFonts w:ascii="Arial" w:hAnsi="Arial" w:cs="Arial"/>
          <w:sz w:val="20"/>
          <w:szCs w:val="20"/>
        </w:rPr>
        <w:t xml:space="preserve">se </w:t>
      </w:r>
      <w:r>
        <w:rPr>
          <w:rFonts w:ascii="Arial" w:hAnsi="Arial" w:cs="Arial"/>
          <w:sz w:val="20"/>
          <w:szCs w:val="20"/>
        </w:rPr>
        <w:t>identificaron</w:t>
      </w:r>
      <w:r w:rsidR="004D67A4" w:rsidRPr="009A41C3">
        <w:rPr>
          <w:rFonts w:ascii="Arial" w:hAnsi="Arial" w:cs="Arial"/>
          <w:sz w:val="20"/>
          <w:szCs w:val="20"/>
        </w:rPr>
        <w:t xml:space="preserve"> a través de una entrevista semiestructurada diseñada por la autora.</w:t>
      </w:r>
    </w:p>
    <w:p w:rsidR="004D67A4" w:rsidRPr="009A41C3" w:rsidRDefault="004D67A4" w:rsidP="009A41C3">
      <w:pPr>
        <w:spacing w:after="0" w:line="240" w:lineRule="auto"/>
        <w:jc w:val="both"/>
        <w:rPr>
          <w:rFonts w:ascii="Arial" w:hAnsi="Arial" w:cs="Arial"/>
          <w:sz w:val="20"/>
          <w:szCs w:val="20"/>
        </w:rPr>
      </w:pPr>
      <w:r w:rsidRPr="002823F6">
        <w:rPr>
          <w:rFonts w:ascii="Arial" w:hAnsi="Arial" w:cs="Arial"/>
          <w:i/>
          <w:sz w:val="20"/>
          <w:szCs w:val="20"/>
        </w:rPr>
        <w:t>Variable clínica:</w:t>
      </w:r>
      <w:r w:rsidRPr="009A41C3">
        <w:rPr>
          <w:rFonts w:ascii="Arial" w:hAnsi="Arial" w:cs="Arial"/>
          <w:sz w:val="20"/>
          <w:szCs w:val="20"/>
        </w:rPr>
        <w:t xml:space="preserve"> Tipo de CPnE.</w:t>
      </w:r>
    </w:p>
    <w:p w:rsidR="004D67A4" w:rsidRPr="009A41C3" w:rsidRDefault="004D67A4" w:rsidP="009A41C3">
      <w:pPr>
        <w:spacing w:after="0" w:line="240" w:lineRule="auto"/>
        <w:jc w:val="both"/>
        <w:rPr>
          <w:rFonts w:ascii="Arial" w:hAnsi="Arial" w:cs="Arial"/>
          <w:sz w:val="20"/>
          <w:szCs w:val="20"/>
        </w:rPr>
      </w:pPr>
      <w:r w:rsidRPr="009A41C3">
        <w:rPr>
          <w:rFonts w:ascii="Arial" w:hAnsi="Arial" w:cs="Arial"/>
          <w:sz w:val="20"/>
          <w:szCs w:val="20"/>
        </w:rPr>
        <w:t xml:space="preserve">Las CPnE se categorizaron en: </w:t>
      </w:r>
      <w:r w:rsidR="00E409C3">
        <w:rPr>
          <w:rFonts w:ascii="Arial" w:hAnsi="Arial" w:cs="Arial"/>
          <w:sz w:val="20"/>
          <w:szCs w:val="20"/>
        </w:rPr>
        <w:t>C</w:t>
      </w:r>
      <w:r w:rsidRPr="009A41C3">
        <w:rPr>
          <w:rFonts w:ascii="Arial" w:hAnsi="Arial" w:cs="Arial"/>
          <w:sz w:val="20"/>
          <w:szCs w:val="20"/>
        </w:rPr>
        <w:t xml:space="preserve">risis hipomotoras: Atonía de los 4 miembros, ojos cerrados, sensación de desmayo, versión de los ojos. Crisis hipermotoras: temblores, movimientos de los 4 miembros, movimientos de la cabeza lateralizados, empujones pélvicos. </w:t>
      </w:r>
      <w:r w:rsidR="00A73711" w:rsidRPr="00E409C3">
        <w:rPr>
          <w:rFonts w:ascii="Arial" w:hAnsi="Arial" w:cs="Arial"/>
          <w:sz w:val="20"/>
          <w:szCs w:val="20"/>
          <w:vertAlign w:val="superscript"/>
        </w:rPr>
        <w:t>(</w:t>
      </w:r>
      <w:r w:rsidRPr="00E409C3">
        <w:rPr>
          <w:rFonts w:ascii="Arial" w:hAnsi="Arial" w:cs="Arial"/>
          <w:sz w:val="20"/>
          <w:szCs w:val="20"/>
          <w:vertAlign w:val="superscript"/>
        </w:rPr>
        <w:t>9</w:t>
      </w:r>
      <w:r w:rsidR="00A73711" w:rsidRPr="00E409C3">
        <w:rPr>
          <w:rFonts w:ascii="Arial" w:hAnsi="Arial" w:cs="Arial"/>
          <w:sz w:val="20"/>
          <w:szCs w:val="20"/>
          <w:vertAlign w:val="superscript"/>
        </w:rPr>
        <w:t>)</w:t>
      </w:r>
      <w:r w:rsidRPr="009A41C3">
        <w:rPr>
          <w:rFonts w:ascii="Arial" w:hAnsi="Arial" w:cs="Arial"/>
          <w:sz w:val="20"/>
          <w:szCs w:val="20"/>
        </w:rPr>
        <w:t xml:space="preserve"> </w:t>
      </w:r>
    </w:p>
    <w:p w:rsidR="004D67A4" w:rsidRPr="009A41C3" w:rsidRDefault="004D67A4" w:rsidP="009A41C3">
      <w:pPr>
        <w:spacing w:after="0" w:line="240" w:lineRule="auto"/>
        <w:jc w:val="both"/>
        <w:rPr>
          <w:rFonts w:ascii="Arial" w:hAnsi="Arial" w:cs="Arial"/>
          <w:sz w:val="20"/>
          <w:szCs w:val="20"/>
        </w:rPr>
      </w:pPr>
      <w:r w:rsidRPr="002823F6">
        <w:rPr>
          <w:rFonts w:ascii="Arial" w:hAnsi="Arial" w:cs="Arial"/>
          <w:i/>
          <w:sz w:val="20"/>
          <w:szCs w:val="20"/>
        </w:rPr>
        <w:t>Variables psicológicas:</w:t>
      </w:r>
      <w:r w:rsidRPr="009A41C3">
        <w:rPr>
          <w:rFonts w:ascii="Arial" w:hAnsi="Arial" w:cs="Arial"/>
          <w:sz w:val="20"/>
          <w:szCs w:val="20"/>
        </w:rPr>
        <w:t xml:space="preserve"> </w:t>
      </w:r>
      <w:r w:rsidR="003F527C">
        <w:rPr>
          <w:rFonts w:ascii="Arial" w:hAnsi="Arial" w:cs="Arial"/>
          <w:sz w:val="20"/>
          <w:szCs w:val="20"/>
        </w:rPr>
        <w:t>E</w:t>
      </w:r>
      <w:r w:rsidRPr="009A41C3">
        <w:rPr>
          <w:rFonts w:ascii="Arial" w:hAnsi="Arial" w:cs="Arial"/>
          <w:sz w:val="20"/>
          <w:szCs w:val="20"/>
        </w:rPr>
        <w:t>stados emocionales (ansiedad y depresión), estrategias de afrontamiento, experiencias disociativas y los agentes estresores.</w:t>
      </w:r>
    </w:p>
    <w:p w:rsidR="004D67A4" w:rsidRPr="009A41C3" w:rsidRDefault="004D67A4" w:rsidP="009A41C3">
      <w:pPr>
        <w:spacing w:after="0" w:line="240" w:lineRule="auto"/>
        <w:jc w:val="both"/>
        <w:rPr>
          <w:rFonts w:ascii="Arial" w:hAnsi="Arial" w:cs="Arial"/>
          <w:sz w:val="20"/>
          <w:szCs w:val="20"/>
        </w:rPr>
      </w:pPr>
      <w:r w:rsidRPr="009A41C3">
        <w:rPr>
          <w:rFonts w:ascii="Arial" w:hAnsi="Arial" w:cs="Arial"/>
          <w:sz w:val="20"/>
          <w:szCs w:val="20"/>
        </w:rPr>
        <w:t xml:space="preserve">Los estados emocionales: Indicadores: Estado emocional con sospecha de alteraciones y estado emocional sin sospecha alteraciones (ya sea la sospecha de un trastorno de ansiedad generalizada y/o episodio depresivo mayor).  Estos se evaluaron a partir de la entrevista estructurada y de la aplicación de las escalas GAD-7 y NDDI-E. </w:t>
      </w:r>
      <w:r w:rsidR="00A73711" w:rsidRPr="00E409C3">
        <w:rPr>
          <w:rFonts w:ascii="Arial" w:hAnsi="Arial" w:cs="Arial"/>
          <w:sz w:val="20"/>
          <w:szCs w:val="20"/>
          <w:vertAlign w:val="superscript"/>
        </w:rPr>
        <w:t>(</w:t>
      </w:r>
      <w:r w:rsidRPr="00E409C3">
        <w:rPr>
          <w:rFonts w:ascii="Arial" w:hAnsi="Arial" w:cs="Arial"/>
          <w:sz w:val="20"/>
          <w:szCs w:val="20"/>
          <w:vertAlign w:val="superscript"/>
        </w:rPr>
        <w:t>10, 11</w:t>
      </w:r>
      <w:r w:rsidR="00A73711" w:rsidRPr="00E409C3">
        <w:rPr>
          <w:rFonts w:ascii="Arial" w:hAnsi="Arial" w:cs="Arial"/>
          <w:sz w:val="20"/>
          <w:szCs w:val="20"/>
          <w:vertAlign w:val="superscript"/>
        </w:rPr>
        <w:t>)</w:t>
      </w:r>
      <w:r w:rsidRPr="009A41C3">
        <w:rPr>
          <w:rFonts w:ascii="Arial" w:hAnsi="Arial" w:cs="Arial"/>
          <w:sz w:val="20"/>
          <w:szCs w:val="20"/>
        </w:rPr>
        <w:t xml:space="preserve"> </w:t>
      </w:r>
    </w:p>
    <w:p w:rsidR="004D67A4" w:rsidRPr="009A41C3" w:rsidRDefault="004D67A4" w:rsidP="009A41C3">
      <w:pPr>
        <w:spacing w:after="0" w:line="240" w:lineRule="auto"/>
        <w:jc w:val="both"/>
        <w:rPr>
          <w:rFonts w:ascii="Arial" w:hAnsi="Arial" w:cs="Arial"/>
          <w:sz w:val="20"/>
          <w:szCs w:val="20"/>
        </w:rPr>
      </w:pPr>
      <w:r w:rsidRPr="009A41C3">
        <w:rPr>
          <w:rFonts w:ascii="Arial" w:hAnsi="Arial" w:cs="Arial"/>
          <w:sz w:val="20"/>
          <w:szCs w:val="20"/>
        </w:rPr>
        <w:t xml:space="preserve">Estrategias de afrontamiento: Indicadores: uso de estrategias de afrontamiento y poco uso de estrategias de afrontamiento). Se midió a partir de la aplicación de La escala </w:t>
      </w:r>
      <w:proofErr w:type="spellStart"/>
      <w:r w:rsidRPr="009A41C3">
        <w:rPr>
          <w:rFonts w:ascii="Arial" w:hAnsi="Arial" w:cs="Arial"/>
          <w:sz w:val="20"/>
          <w:szCs w:val="20"/>
        </w:rPr>
        <w:t>Brief</w:t>
      </w:r>
      <w:proofErr w:type="spellEnd"/>
      <w:r w:rsidRPr="009A41C3">
        <w:rPr>
          <w:rFonts w:ascii="Arial" w:hAnsi="Arial" w:cs="Arial"/>
          <w:sz w:val="20"/>
          <w:szCs w:val="20"/>
        </w:rPr>
        <w:t xml:space="preserve"> Cope. </w:t>
      </w:r>
      <w:r w:rsidR="00A73711" w:rsidRPr="00E409C3">
        <w:rPr>
          <w:rFonts w:ascii="Arial" w:hAnsi="Arial" w:cs="Arial"/>
          <w:sz w:val="20"/>
          <w:szCs w:val="20"/>
          <w:vertAlign w:val="superscript"/>
        </w:rPr>
        <w:t>(</w:t>
      </w:r>
      <w:r w:rsidRPr="00E409C3">
        <w:rPr>
          <w:rFonts w:ascii="Arial" w:hAnsi="Arial" w:cs="Arial"/>
          <w:sz w:val="20"/>
          <w:szCs w:val="20"/>
          <w:vertAlign w:val="superscript"/>
        </w:rPr>
        <w:t>12</w:t>
      </w:r>
      <w:r w:rsidR="00A73711" w:rsidRPr="00E409C3">
        <w:rPr>
          <w:rFonts w:ascii="Arial" w:hAnsi="Arial" w:cs="Arial"/>
          <w:sz w:val="20"/>
          <w:szCs w:val="20"/>
          <w:vertAlign w:val="superscript"/>
        </w:rPr>
        <w:t>)</w:t>
      </w:r>
    </w:p>
    <w:p w:rsidR="004D67A4" w:rsidRPr="009A41C3" w:rsidRDefault="004D67A4" w:rsidP="009A41C3">
      <w:pPr>
        <w:spacing w:after="0" w:line="240" w:lineRule="auto"/>
        <w:jc w:val="both"/>
        <w:rPr>
          <w:rFonts w:ascii="Arial" w:hAnsi="Arial" w:cs="Arial"/>
          <w:sz w:val="20"/>
          <w:szCs w:val="20"/>
        </w:rPr>
      </w:pPr>
      <w:r w:rsidRPr="009A41C3">
        <w:rPr>
          <w:rFonts w:ascii="Arial" w:hAnsi="Arial" w:cs="Arial"/>
          <w:sz w:val="20"/>
          <w:szCs w:val="20"/>
        </w:rPr>
        <w:t xml:space="preserve">Experiencias disociativas: Indicadores: Ausencia de trastorno disociativo, sospecha de estrés postraumático, sospecha de trastorno disociativo, sospecha de personalidad múltiple).Se utilizó la escala DES-II. </w:t>
      </w:r>
      <w:r w:rsidR="00A73711" w:rsidRPr="00E409C3">
        <w:rPr>
          <w:rFonts w:ascii="Arial" w:hAnsi="Arial" w:cs="Arial"/>
          <w:sz w:val="20"/>
          <w:szCs w:val="20"/>
          <w:vertAlign w:val="superscript"/>
        </w:rPr>
        <w:t>(</w:t>
      </w:r>
      <w:r w:rsidRPr="00E409C3">
        <w:rPr>
          <w:rFonts w:ascii="Arial" w:hAnsi="Arial" w:cs="Arial"/>
          <w:sz w:val="20"/>
          <w:szCs w:val="20"/>
          <w:vertAlign w:val="superscript"/>
        </w:rPr>
        <w:t>13</w:t>
      </w:r>
      <w:r w:rsidR="00A73711" w:rsidRPr="00E409C3">
        <w:rPr>
          <w:rFonts w:ascii="Arial" w:hAnsi="Arial" w:cs="Arial"/>
          <w:sz w:val="20"/>
          <w:szCs w:val="20"/>
          <w:vertAlign w:val="superscript"/>
        </w:rPr>
        <w:t>)</w:t>
      </w:r>
      <w:r w:rsidRPr="009A41C3">
        <w:rPr>
          <w:rFonts w:ascii="Arial" w:hAnsi="Arial" w:cs="Arial"/>
          <w:sz w:val="20"/>
          <w:szCs w:val="20"/>
        </w:rPr>
        <w:t xml:space="preserve"> </w:t>
      </w:r>
    </w:p>
    <w:p w:rsidR="00A952BC" w:rsidRPr="009A41C3" w:rsidRDefault="004D67A4" w:rsidP="009A41C3">
      <w:pPr>
        <w:spacing w:after="0" w:line="240" w:lineRule="auto"/>
        <w:jc w:val="both"/>
        <w:rPr>
          <w:rFonts w:ascii="Arial" w:hAnsi="Arial" w:cs="Arial"/>
          <w:sz w:val="20"/>
          <w:szCs w:val="20"/>
        </w:rPr>
      </w:pPr>
      <w:r w:rsidRPr="009A41C3">
        <w:rPr>
          <w:rFonts w:ascii="Arial" w:hAnsi="Arial" w:cs="Arial"/>
          <w:sz w:val="20"/>
          <w:szCs w:val="20"/>
        </w:rPr>
        <w:t xml:space="preserve">Estresores: Indicadores: Presencia o no de estresores (el divorcio, el nacimiento de un hermano, la pérdida de algún familiar, problemas académicos, problemas laborales, acuso de robo, abuso físico, problemas psicológicos, etc). </w:t>
      </w:r>
      <w:r w:rsidR="00545FC7">
        <w:rPr>
          <w:rFonts w:ascii="Arial" w:hAnsi="Arial" w:cs="Arial"/>
          <w:sz w:val="20"/>
          <w:szCs w:val="20"/>
        </w:rPr>
        <w:t>Se midió a</w:t>
      </w:r>
      <w:r w:rsidRPr="009A41C3">
        <w:rPr>
          <w:rFonts w:ascii="Arial" w:hAnsi="Arial" w:cs="Arial"/>
          <w:sz w:val="20"/>
          <w:szCs w:val="20"/>
        </w:rPr>
        <w:t xml:space="preserve"> través de la entrevista estructurada.</w:t>
      </w:r>
    </w:p>
    <w:p w:rsidR="004D67A4" w:rsidRPr="009A41C3" w:rsidRDefault="004D67A4" w:rsidP="009A41C3">
      <w:pPr>
        <w:spacing w:after="0" w:line="240" w:lineRule="auto"/>
        <w:jc w:val="both"/>
        <w:rPr>
          <w:rFonts w:ascii="Arial" w:hAnsi="Arial" w:cs="Arial"/>
          <w:sz w:val="20"/>
          <w:szCs w:val="20"/>
        </w:rPr>
      </w:pPr>
    </w:p>
    <w:p w:rsidR="00A952BC" w:rsidRPr="009A41C3" w:rsidRDefault="00A952BC" w:rsidP="009A41C3">
      <w:pPr>
        <w:pStyle w:val="Ttulo3"/>
        <w:framePr w:wrap="notBeside"/>
        <w:shd w:val="clear" w:color="auto" w:fill="F2F2F2" w:themeFill="background1" w:themeFillShade="F2"/>
        <w:jc w:val="both"/>
        <w:rPr>
          <w:rFonts w:cs="Arial"/>
          <w:szCs w:val="20"/>
        </w:rPr>
      </w:pPr>
      <w:r w:rsidRPr="009A41C3">
        <w:rPr>
          <w:rFonts w:cs="Arial"/>
          <w:szCs w:val="20"/>
        </w:rPr>
        <w:t>Intervenciones (Hasta 1 página; opcional)</w:t>
      </w:r>
    </w:p>
    <w:p w:rsidR="004D67A4" w:rsidRPr="009A41C3" w:rsidRDefault="004D67A4" w:rsidP="009A41C3">
      <w:pPr>
        <w:spacing w:after="0" w:line="240" w:lineRule="auto"/>
        <w:jc w:val="both"/>
        <w:rPr>
          <w:rFonts w:ascii="Arial" w:hAnsi="Arial" w:cs="Arial"/>
          <w:sz w:val="20"/>
          <w:szCs w:val="20"/>
        </w:rPr>
      </w:pPr>
      <w:r w:rsidRPr="009A41C3">
        <w:rPr>
          <w:rFonts w:ascii="Arial" w:hAnsi="Arial" w:cs="Arial"/>
          <w:sz w:val="20"/>
          <w:szCs w:val="20"/>
        </w:rPr>
        <w:t>Se recogió la información brindada por los pacientes. Se les aplico los siguientes instrumentos de evaluación:</w:t>
      </w:r>
    </w:p>
    <w:p w:rsidR="004D67A4" w:rsidRPr="00E409C3" w:rsidRDefault="004D67A4" w:rsidP="00E409C3">
      <w:pPr>
        <w:pStyle w:val="Prrafodelista"/>
        <w:numPr>
          <w:ilvl w:val="0"/>
          <w:numId w:val="7"/>
        </w:numPr>
        <w:spacing w:line="240" w:lineRule="auto"/>
        <w:rPr>
          <w:rFonts w:ascii="Arial" w:hAnsi="Arial" w:cs="Arial"/>
          <w:sz w:val="20"/>
          <w:szCs w:val="20"/>
        </w:rPr>
      </w:pPr>
      <w:r w:rsidRPr="00E409C3">
        <w:rPr>
          <w:rFonts w:ascii="Arial" w:hAnsi="Arial" w:cs="Arial"/>
          <w:sz w:val="20"/>
          <w:szCs w:val="20"/>
        </w:rPr>
        <w:t xml:space="preserve">La escala de ansiedad GAD-7, consta de 7 ítems los cuales evalúan la sospecha de síntomas de ansiedad. Los pacientes deben responder según la frecuencia en que experimentan los síntomas en las dos semanas anteriores incluyendo el día de la evaluación. Respuestas (0: Nunca. 1: Algunos días. 2: Más de la mitad de los días. 3: Todos los días). La puntuación se obtiene sumando las respuestas de los sujetos y los valores ≥10 indican la sospecha de un trastorno de ansiedad generalizado.  </w:t>
      </w:r>
    </w:p>
    <w:p w:rsidR="004D67A4" w:rsidRPr="00E409C3" w:rsidRDefault="004D67A4" w:rsidP="00E409C3">
      <w:pPr>
        <w:pStyle w:val="Prrafodelista"/>
        <w:numPr>
          <w:ilvl w:val="0"/>
          <w:numId w:val="7"/>
        </w:numPr>
        <w:spacing w:line="240" w:lineRule="auto"/>
        <w:rPr>
          <w:rFonts w:ascii="Arial" w:hAnsi="Arial" w:cs="Arial"/>
          <w:sz w:val="20"/>
          <w:szCs w:val="20"/>
        </w:rPr>
      </w:pPr>
      <w:r w:rsidRPr="00E409C3">
        <w:rPr>
          <w:rFonts w:ascii="Arial" w:hAnsi="Arial" w:cs="Arial"/>
          <w:sz w:val="20"/>
          <w:szCs w:val="20"/>
        </w:rPr>
        <w:t xml:space="preserve">La escala de depresión NDDI-E, consta de 6 ítems los cuales evalúan la sospecha de síntomas de depresión. Los pacientes deben responder según la frecuencia en que experimentan los síntomas en las dos semanas anteriores incluyendo el día de la evaluación. Respuestas (1: Nunca. 2: pocas veces. 3: Alguna veces. 4: Siempre). La puntuación se obtiene sumando las respuestas de los sujetos y los valores ≥15 indican la sospecha de un episodio depresivo mayor. </w:t>
      </w:r>
    </w:p>
    <w:p w:rsidR="004D67A4" w:rsidRPr="00E409C3" w:rsidRDefault="004D67A4" w:rsidP="00E409C3">
      <w:pPr>
        <w:pStyle w:val="Prrafodelista"/>
        <w:numPr>
          <w:ilvl w:val="0"/>
          <w:numId w:val="7"/>
        </w:numPr>
        <w:spacing w:line="240" w:lineRule="auto"/>
        <w:rPr>
          <w:rFonts w:ascii="Arial" w:hAnsi="Arial" w:cs="Arial"/>
          <w:sz w:val="20"/>
          <w:szCs w:val="20"/>
        </w:rPr>
      </w:pPr>
      <w:r w:rsidRPr="00E409C3">
        <w:rPr>
          <w:rFonts w:ascii="Arial" w:hAnsi="Arial" w:cs="Arial"/>
          <w:sz w:val="20"/>
          <w:szCs w:val="20"/>
        </w:rPr>
        <w:t xml:space="preserve">La escala </w:t>
      </w:r>
      <w:proofErr w:type="spellStart"/>
      <w:r w:rsidRPr="00E409C3">
        <w:rPr>
          <w:rFonts w:ascii="Arial" w:hAnsi="Arial" w:cs="Arial"/>
          <w:sz w:val="20"/>
          <w:szCs w:val="20"/>
        </w:rPr>
        <w:t>Brief</w:t>
      </w:r>
      <w:proofErr w:type="spellEnd"/>
      <w:r w:rsidRPr="00E409C3">
        <w:rPr>
          <w:rFonts w:ascii="Arial" w:hAnsi="Arial" w:cs="Arial"/>
          <w:sz w:val="20"/>
          <w:szCs w:val="20"/>
        </w:rPr>
        <w:t xml:space="preserve"> Cope. Este instrumento consta de 28 ítems. El sujeto de responder de acuerdo a la frecuencia con que utiliza las estrategias de afrontamiento referidos en la escala. Respuestas: 1: Nunca. 2: A veces. 3: Casi siempre. 4: Siempre. Para su evaluación ordinaria las puntuaciones se suman y se obtienen totales que delimitan la puntuación del cuestionario. El valor obtenido por cada paciente se compara con los valores medios del mismo, de manera que el resultado puede estar por encima de la media o por debajo de la media del cuestionario. </w:t>
      </w:r>
    </w:p>
    <w:p w:rsidR="004D67A4" w:rsidRPr="00E409C3" w:rsidRDefault="00E409C3" w:rsidP="00E409C3">
      <w:pPr>
        <w:pStyle w:val="Prrafodelista"/>
        <w:numPr>
          <w:ilvl w:val="0"/>
          <w:numId w:val="7"/>
        </w:numPr>
        <w:spacing w:line="240" w:lineRule="auto"/>
        <w:rPr>
          <w:rFonts w:ascii="Arial" w:hAnsi="Arial" w:cs="Arial"/>
          <w:sz w:val="20"/>
          <w:szCs w:val="20"/>
        </w:rPr>
      </w:pPr>
      <w:r>
        <w:rPr>
          <w:rFonts w:ascii="Arial" w:hAnsi="Arial" w:cs="Arial"/>
          <w:sz w:val="20"/>
          <w:szCs w:val="20"/>
        </w:rPr>
        <w:lastRenderedPageBreak/>
        <w:t>L</w:t>
      </w:r>
      <w:r w:rsidR="004D67A4" w:rsidRPr="00E409C3">
        <w:rPr>
          <w:rFonts w:ascii="Arial" w:hAnsi="Arial" w:cs="Arial"/>
          <w:sz w:val="20"/>
          <w:szCs w:val="20"/>
        </w:rPr>
        <w:t>a escala DES-II. Este instrumento permite a los clínicos evaluar, los diferentes tipos de sintomatología disociativas y la frecuencia con que estos aparecen en cada paciente. Consiste en un cuestionario auto administrado de 28 ítems que utiliza una escala en porcientos (de 0 a 100%). En cada pregunta, el paciente debe rodear la respuesta que muestra el porcentaje del tiempo que más estrechamente se ajusta a la situación experimentada por él. La puntuación total del DES-II se obtiene sumando todos los porcentajes seleccionados y dividiendo el resultado por 28.  Las respuestas de esta escala realizan en porcientos de ocurrencia de las situaciones que se describen en la escala. Las respuestas (≥35%) indican la sospecha de trastorno disociativo, las respuestas (&lt;20) indican la ausencia de trastornos disociativos. Los valores (=28%) indican la sospecha de estrés postraumático y los valores (≥45%) indican la sospecha de personalidad múltiple.</w:t>
      </w:r>
    </w:p>
    <w:p w:rsidR="004D67A4" w:rsidRPr="00E409C3" w:rsidRDefault="004D67A4" w:rsidP="00E409C3">
      <w:pPr>
        <w:pStyle w:val="Prrafodelista"/>
        <w:numPr>
          <w:ilvl w:val="0"/>
          <w:numId w:val="7"/>
        </w:numPr>
        <w:spacing w:line="240" w:lineRule="auto"/>
        <w:rPr>
          <w:rFonts w:ascii="Arial" w:hAnsi="Arial" w:cs="Arial"/>
          <w:sz w:val="20"/>
          <w:szCs w:val="20"/>
        </w:rPr>
      </w:pPr>
      <w:r w:rsidRPr="00E409C3">
        <w:rPr>
          <w:rFonts w:ascii="Arial" w:hAnsi="Arial" w:cs="Arial"/>
          <w:sz w:val="20"/>
          <w:szCs w:val="20"/>
        </w:rPr>
        <w:t>Entrevista estructurada: Para identificar variables demográficas (edad, sexo, escolaridad) y la presencia de estresores (el divorcio, el nacimiento de un hermano, la pérdida de algún familiar, problemas académicos, problemas laborales, acuso de robo, abuso físico, problemas psicológicos, etc). Importante destacar que cada paciente podía indicar la presencia de más de un estresor.</w:t>
      </w:r>
    </w:p>
    <w:p w:rsidR="004D67A4" w:rsidRPr="009A41C3" w:rsidRDefault="004D67A4" w:rsidP="009A41C3">
      <w:pPr>
        <w:spacing w:after="0" w:line="240" w:lineRule="auto"/>
        <w:jc w:val="both"/>
        <w:rPr>
          <w:rFonts w:ascii="Arial" w:hAnsi="Arial" w:cs="Arial"/>
          <w:sz w:val="20"/>
          <w:szCs w:val="20"/>
        </w:rPr>
      </w:pPr>
      <w:r w:rsidRPr="009A41C3">
        <w:rPr>
          <w:rFonts w:ascii="Arial" w:hAnsi="Arial" w:cs="Arial"/>
          <w:sz w:val="20"/>
          <w:szCs w:val="20"/>
        </w:rPr>
        <w:t xml:space="preserve">La recogida de la información se llevó a cabo por la investigadora aplicando los instrumentos mencionados con anterioridad. Estos instrumentos se sometieron a criterios de expertos (técnica Delphi). </w:t>
      </w:r>
      <w:r w:rsidR="00A73711" w:rsidRPr="00E409C3">
        <w:rPr>
          <w:rFonts w:ascii="Arial" w:hAnsi="Arial" w:cs="Arial"/>
          <w:sz w:val="20"/>
          <w:szCs w:val="20"/>
          <w:vertAlign w:val="superscript"/>
        </w:rPr>
        <w:t>(</w:t>
      </w:r>
      <w:r w:rsidRPr="00E409C3">
        <w:rPr>
          <w:rFonts w:ascii="Arial" w:hAnsi="Arial" w:cs="Arial"/>
          <w:sz w:val="20"/>
          <w:szCs w:val="20"/>
          <w:vertAlign w:val="superscript"/>
        </w:rPr>
        <w:t>14</w:t>
      </w:r>
      <w:r w:rsidR="00A73711" w:rsidRPr="00E409C3">
        <w:rPr>
          <w:rFonts w:ascii="Arial" w:hAnsi="Arial" w:cs="Arial"/>
          <w:sz w:val="20"/>
          <w:szCs w:val="20"/>
          <w:vertAlign w:val="superscript"/>
        </w:rPr>
        <w:t>)</w:t>
      </w:r>
    </w:p>
    <w:p w:rsidR="00A952BC" w:rsidRPr="009A41C3" w:rsidRDefault="004D67A4" w:rsidP="009A41C3">
      <w:pPr>
        <w:spacing w:after="0" w:line="240" w:lineRule="auto"/>
        <w:jc w:val="both"/>
        <w:rPr>
          <w:rFonts w:ascii="Arial" w:hAnsi="Arial" w:cs="Arial"/>
          <w:sz w:val="20"/>
          <w:szCs w:val="20"/>
        </w:rPr>
      </w:pPr>
      <w:r w:rsidRPr="009A41C3">
        <w:rPr>
          <w:rFonts w:ascii="Arial" w:hAnsi="Arial" w:cs="Arial"/>
          <w:sz w:val="20"/>
          <w:szCs w:val="20"/>
        </w:rPr>
        <w:t>La aplicación de los instrumentos mencionados con anterioridad se realizó en una sesión de trabajo. Se decidió utilizar en la investigación, a los pacientes que hayan sido evaluados en el Servicio de Neuropsicología del CIREN y que el diagnóstico de CE, CPnE se haya realizado en el Servicio de Neurofisiología del propio centro, a partir del Video EEG, EEG convencional, EEG con inducción de crisis.  Para realizar esta investigación se solicitó la autorización al jefe del Servicio de Neurofisiología y del Proyecto de Cirugía de la Epilepsia y se sometió a consideración del Comité de Ética de dicha institución.</w:t>
      </w:r>
    </w:p>
    <w:p w:rsidR="004D67A4" w:rsidRPr="009A41C3" w:rsidRDefault="004D67A4" w:rsidP="009A41C3">
      <w:pPr>
        <w:spacing w:after="0" w:line="240" w:lineRule="auto"/>
        <w:jc w:val="both"/>
        <w:rPr>
          <w:rFonts w:ascii="Arial" w:hAnsi="Arial" w:cs="Arial"/>
          <w:sz w:val="20"/>
          <w:szCs w:val="20"/>
        </w:rPr>
      </w:pPr>
    </w:p>
    <w:p w:rsidR="00A952BC" w:rsidRPr="009A41C3" w:rsidRDefault="00A952BC" w:rsidP="009A41C3">
      <w:pPr>
        <w:pStyle w:val="Ttulo3"/>
        <w:framePr w:wrap="notBeside"/>
        <w:shd w:val="clear" w:color="auto" w:fill="F2F2F2" w:themeFill="background1" w:themeFillShade="F2"/>
        <w:jc w:val="both"/>
        <w:rPr>
          <w:rFonts w:cs="Arial"/>
          <w:szCs w:val="20"/>
        </w:rPr>
      </w:pPr>
      <w:r w:rsidRPr="009A41C3">
        <w:rPr>
          <w:rFonts w:cs="Arial"/>
          <w:szCs w:val="20"/>
        </w:rPr>
        <w:t>Procesamiento estadístico</w:t>
      </w:r>
    </w:p>
    <w:p w:rsidR="00A952BC" w:rsidRPr="009A41C3" w:rsidRDefault="004D67A4" w:rsidP="009A41C3">
      <w:pPr>
        <w:spacing w:after="0" w:line="240" w:lineRule="auto"/>
        <w:jc w:val="both"/>
        <w:rPr>
          <w:rFonts w:ascii="Arial" w:hAnsi="Arial" w:cs="Arial"/>
          <w:sz w:val="20"/>
          <w:szCs w:val="20"/>
        </w:rPr>
      </w:pPr>
      <w:r w:rsidRPr="009A41C3">
        <w:rPr>
          <w:rFonts w:ascii="Arial" w:hAnsi="Arial" w:cs="Arial"/>
          <w:sz w:val="20"/>
          <w:szCs w:val="20"/>
        </w:rPr>
        <w:t xml:space="preserve">Toda la información obtenida fue transferida, a una base de datos para el análisis estadístico, y se utilizó un paquete estadístico </w:t>
      </w:r>
      <w:proofErr w:type="spellStart"/>
      <w:r w:rsidRPr="009A41C3">
        <w:rPr>
          <w:rFonts w:ascii="Arial" w:hAnsi="Arial" w:cs="Arial"/>
          <w:sz w:val="20"/>
          <w:szCs w:val="20"/>
        </w:rPr>
        <w:t>Stadistic</w:t>
      </w:r>
      <w:proofErr w:type="spellEnd"/>
      <w:r w:rsidRPr="009A41C3">
        <w:rPr>
          <w:rFonts w:ascii="Arial" w:hAnsi="Arial" w:cs="Arial"/>
          <w:sz w:val="20"/>
          <w:szCs w:val="20"/>
        </w:rPr>
        <w:t xml:space="preserve"> 8.0. Se calcularon las frecuencias, porcentajes, medias y desviaciones estándar, como medidas de resumen descriptivo. Se utilizó estadística no paramétrica. Se compararon proporciones y medias a través de estadística descriptiva. Se correlacionaron las variables a través de Spearman Test. Se compararon los resultados entre los grupos a través de del Test U de Mann Whitney U. Se utilizó nivel de significación estadística p≤0.05.  </w:t>
      </w:r>
    </w:p>
    <w:p w:rsidR="004D67A4" w:rsidRPr="009A41C3" w:rsidRDefault="004D67A4" w:rsidP="009A41C3">
      <w:pPr>
        <w:spacing w:after="0" w:line="240" w:lineRule="auto"/>
        <w:jc w:val="both"/>
        <w:rPr>
          <w:rFonts w:ascii="Arial" w:hAnsi="Arial" w:cs="Arial"/>
          <w:sz w:val="20"/>
          <w:szCs w:val="20"/>
        </w:rPr>
      </w:pPr>
    </w:p>
    <w:p w:rsidR="00A952BC" w:rsidRPr="009A41C3" w:rsidRDefault="00A952BC" w:rsidP="009A41C3">
      <w:pPr>
        <w:pStyle w:val="Ttulo3"/>
        <w:framePr w:wrap="notBeside"/>
        <w:shd w:val="clear" w:color="auto" w:fill="F2F2F2" w:themeFill="background1" w:themeFillShade="F2"/>
        <w:jc w:val="both"/>
        <w:rPr>
          <w:rFonts w:cs="Arial"/>
          <w:szCs w:val="20"/>
        </w:rPr>
      </w:pPr>
      <w:r w:rsidRPr="009A41C3">
        <w:rPr>
          <w:rFonts w:cs="Arial"/>
          <w:szCs w:val="20"/>
        </w:rPr>
        <w:t>Ética</w:t>
      </w:r>
    </w:p>
    <w:p w:rsidR="004D67A4" w:rsidRPr="009A41C3" w:rsidRDefault="004D67A4" w:rsidP="009A41C3">
      <w:pPr>
        <w:spacing w:after="0" w:line="240" w:lineRule="auto"/>
        <w:jc w:val="both"/>
        <w:rPr>
          <w:rFonts w:ascii="Arial" w:hAnsi="Arial" w:cs="Arial"/>
          <w:sz w:val="20"/>
          <w:szCs w:val="20"/>
        </w:rPr>
      </w:pPr>
      <w:r w:rsidRPr="009A41C3">
        <w:rPr>
          <w:rFonts w:ascii="Arial" w:hAnsi="Arial" w:cs="Arial"/>
          <w:sz w:val="20"/>
          <w:szCs w:val="20"/>
        </w:rPr>
        <w:t xml:space="preserve">Se pusieron en práctica los principios de la Declaración de Helsinki de 1975.  Además los principios éticos contenidos en el Código de la Sociedad de Psicólogos de Cuba, que promueven el desarrollo integral humano, en lo personal, social y profesional, un alto sentido del compromiso social respecto al cumplimiento y promoción de los valores humanos más elevados, el desempeño profesional basado en la responsabilidad personal, social, profesional y científica, sobre la base de la integridad y la honestidad. </w:t>
      </w:r>
      <w:r w:rsidRPr="009A41C3">
        <w:rPr>
          <w:rFonts w:ascii="Arial" w:hAnsi="Arial" w:cs="Arial"/>
          <w:sz w:val="20"/>
          <w:szCs w:val="20"/>
        </w:rPr>
        <w:cr/>
        <w:t>Se dispuso del consentimiento informado de las personas que participaron en la investigación</w:t>
      </w:r>
      <w:r w:rsidR="005318BF">
        <w:rPr>
          <w:rFonts w:ascii="Arial" w:hAnsi="Arial" w:cs="Arial"/>
          <w:sz w:val="20"/>
          <w:szCs w:val="20"/>
        </w:rPr>
        <w:t>, se</w:t>
      </w:r>
      <w:r w:rsidRPr="009A41C3">
        <w:rPr>
          <w:rFonts w:ascii="Arial" w:hAnsi="Arial" w:cs="Arial"/>
          <w:sz w:val="20"/>
          <w:szCs w:val="20"/>
        </w:rPr>
        <w:t xml:space="preserve"> respetó el anonimato y la confidencialidad de la información obtenida. </w:t>
      </w:r>
    </w:p>
    <w:p w:rsidR="004D67A4" w:rsidRPr="009A41C3" w:rsidRDefault="004D67A4" w:rsidP="009A41C3">
      <w:pPr>
        <w:spacing w:after="0" w:line="240" w:lineRule="auto"/>
        <w:jc w:val="both"/>
        <w:rPr>
          <w:rFonts w:ascii="Arial" w:hAnsi="Arial" w:cs="Arial"/>
          <w:sz w:val="20"/>
          <w:szCs w:val="20"/>
        </w:rPr>
      </w:pPr>
      <w:r w:rsidRPr="009A41C3">
        <w:rPr>
          <w:rFonts w:ascii="Arial" w:hAnsi="Arial" w:cs="Arial"/>
          <w:sz w:val="20"/>
          <w:szCs w:val="20"/>
        </w:rPr>
        <w:t>Durante la etapa de ejecución y aplicación de los instrumentos, se utilizó la consulta de Neuropsicología del CIREN, la cual cuenta con las condiciones ambientales y de privacidad, necesarias para garantizar el desempeño exitoso de la tarea. En todo momento se tuvo en cuenta mantener el clima psicológico indispensable y relación empática con cada uno de los participantes. No se contó con otro personal, con el fin de mantener la privacidad del estudio.</w:t>
      </w:r>
    </w:p>
    <w:p w:rsidR="00A952BC" w:rsidRPr="009A41C3" w:rsidRDefault="00A952BC" w:rsidP="009A41C3">
      <w:pPr>
        <w:spacing w:after="0" w:line="240" w:lineRule="auto"/>
        <w:jc w:val="both"/>
        <w:rPr>
          <w:rFonts w:ascii="Arial" w:hAnsi="Arial" w:cs="Arial"/>
          <w:sz w:val="20"/>
          <w:szCs w:val="20"/>
        </w:rPr>
      </w:pPr>
    </w:p>
    <w:p w:rsidR="00A952BC" w:rsidRPr="009A41C3" w:rsidRDefault="00A952BC" w:rsidP="009A41C3">
      <w:pPr>
        <w:pStyle w:val="Ttulo2"/>
        <w:framePr w:wrap="notBeside"/>
        <w:shd w:val="clear" w:color="auto" w:fill="F2F2F2" w:themeFill="background1" w:themeFillShade="F2"/>
        <w:jc w:val="both"/>
        <w:rPr>
          <w:rFonts w:cs="Arial"/>
          <w:szCs w:val="20"/>
        </w:rPr>
      </w:pPr>
      <w:r w:rsidRPr="009A41C3">
        <w:rPr>
          <w:rFonts w:cs="Arial"/>
          <w:szCs w:val="20"/>
        </w:rPr>
        <w:t>RESULTADOS</w:t>
      </w:r>
    </w:p>
    <w:p w:rsidR="00A952BC" w:rsidRPr="009A41C3" w:rsidRDefault="00A952BC" w:rsidP="009A41C3">
      <w:pPr>
        <w:pStyle w:val="Ttulo3"/>
        <w:framePr w:wrap="notBeside"/>
        <w:shd w:val="clear" w:color="auto" w:fill="F2F2F2" w:themeFill="background1" w:themeFillShade="F2"/>
        <w:jc w:val="both"/>
        <w:rPr>
          <w:rFonts w:cs="Arial"/>
          <w:szCs w:val="20"/>
        </w:rPr>
      </w:pPr>
      <w:r w:rsidRPr="009A41C3">
        <w:rPr>
          <w:rFonts w:cs="Arial"/>
          <w:szCs w:val="20"/>
        </w:rPr>
        <w:t>Reclutamiento de los participantes</w:t>
      </w:r>
    </w:p>
    <w:p w:rsidR="00A952BC" w:rsidRPr="009A41C3" w:rsidRDefault="00A73711" w:rsidP="009A41C3">
      <w:pPr>
        <w:spacing w:after="0" w:line="240" w:lineRule="auto"/>
        <w:jc w:val="both"/>
        <w:rPr>
          <w:rFonts w:ascii="Arial" w:hAnsi="Arial" w:cs="Arial"/>
          <w:sz w:val="20"/>
          <w:szCs w:val="20"/>
        </w:rPr>
      </w:pPr>
      <w:r>
        <w:rPr>
          <w:rFonts w:ascii="Arial" w:hAnsi="Arial" w:cs="Arial"/>
          <w:sz w:val="20"/>
          <w:szCs w:val="20"/>
        </w:rPr>
        <w:t>El reclutamiento fue secuencial a partir de los criterios de inclusión y exclusión referidos con anterioridad.</w:t>
      </w:r>
    </w:p>
    <w:p w:rsidR="00A952BC" w:rsidRPr="009A41C3" w:rsidRDefault="00A952BC" w:rsidP="009A41C3">
      <w:pPr>
        <w:spacing w:after="0" w:line="240" w:lineRule="auto"/>
        <w:jc w:val="both"/>
        <w:rPr>
          <w:rFonts w:ascii="Arial" w:hAnsi="Arial" w:cs="Arial"/>
          <w:sz w:val="20"/>
          <w:szCs w:val="20"/>
        </w:rPr>
      </w:pPr>
    </w:p>
    <w:p w:rsidR="00A952BC" w:rsidRPr="009A41C3" w:rsidRDefault="00A952BC" w:rsidP="009A41C3">
      <w:pPr>
        <w:pStyle w:val="Ttulo3"/>
        <w:framePr w:wrap="notBeside"/>
        <w:shd w:val="clear" w:color="auto" w:fill="F2F2F2" w:themeFill="background1" w:themeFillShade="F2"/>
        <w:jc w:val="both"/>
        <w:rPr>
          <w:rFonts w:cs="Arial"/>
          <w:szCs w:val="20"/>
        </w:rPr>
      </w:pPr>
      <w:r w:rsidRPr="009A41C3">
        <w:rPr>
          <w:rFonts w:cs="Arial"/>
          <w:szCs w:val="20"/>
        </w:rPr>
        <w:t>Descripción de la población del estudio</w:t>
      </w:r>
    </w:p>
    <w:p w:rsidR="00996307" w:rsidRPr="009A41C3" w:rsidRDefault="00996307" w:rsidP="009A41C3">
      <w:pPr>
        <w:spacing w:after="0" w:line="240" w:lineRule="auto"/>
        <w:jc w:val="both"/>
        <w:rPr>
          <w:rFonts w:ascii="Arial" w:hAnsi="Arial" w:cs="Arial"/>
          <w:sz w:val="20"/>
          <w:szCs w:val="20"/>
        </w:rPr>
      </w:pPr>
      <w:r w:rsidRPr="009A41C3">
        <w:rPr>
          <w:rFonts w:ascii="Arial" w:hAnsi="Arial" w:cs="Arial"/>
          <w:sz w:val="20"/>
          <w:szCs w:val="20"/>
        </w:rPr>
        <w:t xml:space="preserve">La muestra estuvo compuesta por </w:t>
      </w:r>
      <w:r w:rsidR="009133E7" w:rsidRPr="009A41C3">
        <w:rPr>
          <w:rFonts w:ascii="Arial" w:hAnsi="Arial" w:cs="Arial"/>
          <w:sz w:val="20"/>
          <w:szCs w:val="20"/>
        </w:rPr>
        <w:t>38</w:t>
      </w:r>
      <w:r w:rsidRPr="009A41C3">
        <w:rPr>
          <w:rFonts w:ascii="Arial" w:hAnsi="Arial" w:cs="Arial"/>
          <w:sz w:val="20"/>
          <w:szCs w:val="20"/>
        </w:rPr>
        <w:t xml:space="preserve"> pacientes. De ellos </w:t>
      </w:r>
      <w:r w:rsidR="009133E7" w:rsidRPr="009A41C3">
        <w:rPr>
          <w:rFonts w:ascii="Arial" w:hAnsi="Arial" w:cs="Arial"/>
          <w:sz w:val="20"/>
          <w:szCs w:val="20"/>
        </w:rPr>
        <w:t xml:space="preserve">23 con CPnE y 15 con CE. </w:t>
      </w:r>
      <w:r w:rsidRPr="009A41C3">
        <w:rPr>
          <w:rFonts w:ascii="Arial" w:hAnsi="Arial" w:cs="Arial"/>
          <w:sz w:val="20"/>
          <w:szCs w:val="20"/>
        </w:rPr>
        <w:t xml:space="preserve"> </w:t>
      </w:r>
      <w:r w:rsidR="009133E7" w:rsidRPr="009A41C3">
        <w:rPr>
          <w:rFonts w:ascii="Arial" w:hAnsi="Arial" w:cs="Arial"/>
          <w:sz w:val="20"/>
          <w:szCs w:val="20"/>
        </w:rPr>
        <w:t xml:space="preserve">Las características en cuanto al sexo y </w:t>
      </w:r>
      <w:r w:rsidR="00C32170">
        <w:rPr>
          <w:rFonts w:ascii="Arial" w:hAnsi="Arial" w:cs="Arial"/>
          <w:sz w:val="20"/>
          <w:szCs w:val="20"/>
        </w:rPr>
        <w:t xml:space="preserve">rango de </w:t>
      </w:r>
      <w:r w:rsidR="009133E7" w:rsidRPr="009A41C3">
        <w:rPr>
          <w:rFonts w:ascii="Arial" w:hAnsi="Arial" w:cs="Arial"/>
          <w:sz w:val="20"/>
          <w:szCs w:val="20"/>
        </w:rPr>
        <w:t>edad se muestran en la Tabla 1</w:t>
      </w:r>
      <w:r w:rsidRPr="009A41C3">
        <w:rPr>
          <w:rFonts w:ascii="Arial" w:hAnsi="Arial" w:cs="Arial"/>
          <w:sz w:val="20"/>
          <w:szCs w:val="20"/>
        </w:rPr>
        <w:t>.</w:t>
      </w:r>
    </w:p>
    <w:p w:rsidR="00A952BC" w:rsidRPr="009A41C3" w:rsidRDefault="00A952BC" w:rsidP="009A41C3">
      <w:pPr>
        <w:spacing w:after="0" w:line="240" w:lineRule="auto"/>
        <w:jc w:val="both"/>
        <w:rPr>
          <w:rFonts w:ascii="Arial" w:hAnsi="Arial" w:cs="Arial"/>
          <w:sz w:val="20"/>
          <w:szCs w:val="20"/>
        </w:rPr>
      </w:pPr>
    </w:p>
    <w:p w:rsidR="00A952BC" w:rsidRPr="009A41C3" w:rsidRDefault="00A952BC" w:rsidP="009A41C3">
      <w:pPr>
        <w:pStyle w:val="Ttulo3"/>
        <w:framePr w:wrap="notBeside"/>
        <w:shd w:val="clear" w:color="auto" w:fill="F2F2F2" w:themeFill="background1" w:themeFillShade="F2"/>
        <w:jc w:val="both"/>
        <w:rPr>
          <w:rFonts w:cs="Arial"/>
          <w:szCs w:val="20"/>
        </w:rPr>
      </w:pPr>
      <w:r w:rsidRPr="009A41C3">
        <w:rPr>
          <w:rFonts w:cs="Arial"/>
          <w:szCs w:val="20"/>
        </w:rPr>
        <w:t>Principales resultados del análisis</w:t>
      </w:r>
    </w:p>
    <w:p w:rsidR="00A952BC" w:rsidRPr="009A41C3" w:rsidRDefault="009133E7" w:rsidP="009A41C3">
      <w:pPr>
        <w:spacing w:after="0" w:line="240" w:lineRule="auto"/>
        <w:jc w:val="both"/>
        <w:rPr>
          <w:rFonts w:ascii="Arial" w:hAnsi="Arial" w:cs="Arial"/>
          <w:sz w:val="20"/>
          <w:szCs w:val="20"/>
        </w:rPr>
      </w:pPr>
      <w:r w:rsidRPr="00A73711">
        <w:rPr>
          <w:rFonts w:ascii="Arial" w:hAnsi="Arial" w:cs="Arial"/>
          <w:i/>
          <w:sz w:val="20"/>
          <w:szCs w:val="20"/>
        </w:rPr>
        <w:lastRenderedPageBreak/>
        <w:t>Entrevista estructurada</w:t>
      </w:r>
      <w:r w:rsidRPr="009A41C3">
        <w:rPr>
          <w:rFonts w:ascii="Arial" w:hAnsi="Arial" w:cs="Arial"/>
          <w:sz w:val="20"/>
          <w:szCs w:val="20"/>
        </w:rPr>
        <w:t xml:space="preserve">: La muestra estuvo compuesta por 38 pacientes cuyas características demográficas (sexo, rango de edades según la etapa del desarrollo humano) se aprecian en la Tabla </w:t>
      </w:r>
      <w:r w:rsidR="00B15D24">
        <w:rPr>
          <w:rFonts w:ascii="Arial" w:hAnsi="Arial" w:cs="Arial"/>
          <w:sz w:val="20"/>
          <w:szCs w:val="20"/>
        </w:rPr>
        <w:t>1</w:t>
      </w:r>
      <w:r w:rsidRPr="009A41C3">
        <w:rPr>
          <w:rFonts w:ascii="Arial" w:hAnsi="Arial" w:cs="Arial"/>
          <w:sz w:val="20"/>
          <w:szCs w:val="20"/>
        </w:rPr>
        <w:t>.  Se identifican diferencias significativas entre los grupos en el rango perteneciente a la juventud.</w:t>
      </w:r>
    </w:p>
    <w:p w:rsidR="009133E7" w:rsidRPr="009A41C3" w:rsidRDefault="009133E7" w:rsidP="009A41C3">
      <w:pPr>
        <w:spacing w:after="0" w:line="240" w:lineRule="auto"/>
        <w:jc w:val="both"/>
        <w:rPr>
          <w:rFonts w:ascii="Arial" w:hAnsi="Arial" w:cs="Arial"/>
          <w:sz w:val="20"/>
          <w:szCs w:val="20"/>
        </w:rPr>
      </w:pPr>
      <w:r w:rsidRPr="00A73711">
        <w:rPr>
          <w:rFonts w:ascii="Arial" w:hAnsi="Arial" w:cs="Arial"/>
          <w:i/>
          <w:sz w:val="20"/>
          <w:szCs w:val="20"/>
        </w:rPr>
        <w:t>Estresores</w:t>
      </w:r>
      <w:r w:rsidRPr="009A41C3">
        <w:rPr>
          <w:rFonts w:ascii="Arial" w:hAnsi="Arial" w:cs="Arial"/>
          <w:sz w:val="20"/>
          <w:szCs w:val="20"/>
        </w:rPr>
        <w:t>: Según la entrevista realizada el 81.5% de la muestra total manifestaron estresores (31 pacientes): 18 pacientes del grupo con CPnE (72%);  y 13 pacientes en el grupo con CE (87%). No manifestaron estresores 7 pacientes del grupo total (18%).</w:t>
      </w:r>
    </w:p>
    <w:p w:rsidR="009133E7" w:rsidRPr="009A41C3" w:rsidRDefault="009133E7" w:rsidP="009A41C3">
      <w:pPr>
        <w:spacing w:after="0" w:line="240" w:lineRule="auto"/>
        <w:jc w:val="both"/>
        <w:rPr>
          <w:rFonts w:ascii="Arial" w:hAnsi="Arial" w:cs="Arial"/>
          <w:sz w:val="20"/>
          <w:szCs w:val="20"/>
        </w:rPr>
      </w:pPr>
      <w:r w:rsidRPr="009A41C3">
        <w:rPr>
          <w:rFonts w:ascii="Arial" w:hAnsi="Arial" w:cs="Arial"/>
          <w:sz w:val="20"/>
          <w:szCs w:val="20"/>
        </w:rPr>
        <w:t xml:space="preserve">En los dos grupos se reportaron 47 estresores en total, evidenciándose en el grupo CPnE 39 estresores (82%), y en el grupo con CE fueron de 8 estresores (17%). Se realiza un análisis estadístico entre estas proporciones y se encuentran diferencias significativas (p=0.0001). Identificándose mayor cantidad de estresores en el grupo con CPnE cuando se compara con las CE. </w:t>
      </w:r>
    </w:p>
    <w:p w:rsidR="009133E7" w:rsidRPr="009A41C3" w:rsidRDefault="009133E7" w:rsidP="009A41C3">
      <w:pPr>
        <w:spacing w:after="0" w:line="240" w:lineRule="auto"/>
        <w:jc w:val="both"/>
        <w:rPr>
          <w:rFonts w:ascii="Arial" w:hAnsi="Arial" w:cs="Arial"/>
          <w:sz w:val="20"/>
          <w:szCs w:val="20"/>
        </w:rPr>
      </w:pPr>
      <w:r w:rsidRPr="009A41C3">
        <w:rPr>
          <w:rFonts w:ascii="Arial" w:hAnsi="Arial" w:cs="Arial"/>
          <w:sz w:val="20"/>
          <w:szCs w:val="20"/>
        </w:rPr>
        <w:t>Los estresores mayormente mencionados por los grupos con CPnE lo constituyeron la pérdida de un ser querido, el divorcio, las dificultades académicas, cambio de ambiente, trauma psicológico y nacimiento de un hermano, entre otros. En el grupo con CE los estresores mayormente mencionados se relacionan a las dificultades en la comunicación con la pareja y a la falta de medicamentos (esta última no incluida en la entrevista y mencionada espontáneamente por los pacientes).  Importante destacar que los pacientes en su mayoría mencionaron más de un estresor. Tabla 2.</w:t>
      </w:r>
    </w:p>
    <w:p w:rsidR="009133E7" w:rsidRPr="009A41C3" w:rsidRDefault="009133E7" w:rsidP="009A41C3">
      <w:pPr>
        <w:spacing w:after="0" w:line="240" w:lineRule="auto"/>
        <w:jc w:val="both"/>
        <w:rPr>
          <w:rFonts w:ascii="Arial" w:hAnsi="Arial" w:cs="Arial"/>
          <w:sz w:val="20"/>
          <w:szCs w:val="20"/>
        </w:rPr>
      </w:pPr>
      <w:r w:rsidRPr="00A73711">
        <w:rPr>
          <w:rFonts w:ascii="Arial" w:hAnsi="Arial" w:cs="Arial"/>
          <w:i/>
          <w:sz w:val="20"/>
          <w:szCs w:val="20"/>
        </w:rPr>
        <w:t>Diagnóstico del tipo CPnE</w:t>
      </w:r>
      <w:r w:rsidR="00C32170" w:rsidRPr="009A41C3">
        <w:rPr>
          <w:rFonts w:ascii="Arial" w:hAnsi="Arial" w:cs="Arial"/>
          <w:sz w:val="20"/>
          <w:szCs w:val="20"/>
        </w:rPr>
        <w:t>: En</w:t>
      </w:r>
      <w:r w:rsidRPr="009A41C3">
        <w:rPr>
          <w:rFonts w:ascii="Arial" w:hAnsi="Arial" w:cs="Arial"/>
          <w:sz w:val="20"/>
          <w:szCs w:val="20"/>
        </w:rPr>
        <w:t xml:space="preserve"> los pacientes con diagnóstico positivo de CPnE (n: 23),  se identificó que 10 de ellos las crisis fueron de tipo hipermotoras (43%) y 13 de ellos con crisis hipomotoras (57%).  Sin encontrarse diferencia entre estas proporciones (p=0.25).</w:t>
      </w:r>
    </w:p>
    <w:p w:rsidR="009133E7" w:rsidRPr="009A41C3" w:rsidRDefault="009133E7" w:rsidP="009A41C3">
      <w:pPr>
        <w:spacing w:after="0" w:line="240" w:lineRule="auto"/>
        <w:jc w:val="both"/>
        <w:rPr>
          <w:rFonts w:ascii="Arial" w:hAnsi="Arial" w:cs="Arial"/>
          <w:sz w:val="20"/>
          <w:szCs w:val="20"/>
        </w:rPr>
      </w:pPr>
      <w:r w:rsidRPr="00A73711">
        <w:rPr>
          <w:rFonts w:ascii="Arial" w:hAnsi="Arial" w:cs="Arial"/>
          <w:i/>
          <w:sz w:val="20"/>
          <w:szCs w:val="20"/>
        </w:rPr>
        <w:t>Escala de ansiedad GAD-7</w:t>
      </w:r>
      <w:r w:rsidRPr="009A41C3">
        <w:rPr>
          <w:rFonts w:ascii="Arial" w:hAnsi="Arial" w:cs="Arial"/>
          <w:sz w:val="20"/>
          <w:szCs w:val="20"/>
        </w:rPr>
        <w:t xml:space="preserve">: Se identificó la sospecha de trastorno de ansiedad generalizado (TAG) en 15 pacientes del total de la muestra, lo que representa el 40%. De estos, un 60% pertenecieron al grupo con CE y 26% al grupo con CPnE. </w:t>
      </w:r>
      <w:r w:rsidR="00B15D24">
        <w:rPr>
          <w:rFonts w:ascii="Arial" w:hAnsi="Arial" w:cs="Arial"/>
          <w:sz w:val="20"/>
          <w:szCs w:val="20"/>
        </w:rPr>
        <w:t>Se encontraron</w:t>
      </w:r>
      <w:r w:rsidRPr="009A41C3">
        <w:rPr>
          <w:rFonts w:ascii="Arial" w:hAnsi="Arial" w:cs="Arial"/>
          <w:sz w:val="20"/>
          <w:szCs w:val="20"/>
        </w:rPr>
        <w:t xml:space="preserve"> diferencias significativas en la sospecha de trastorno de ansiedad generalizada entre los grupos (p=0.03) (usando el análisis estadístico test U The Mann Whitney). Tabla 2</w:t>
      </w:r>
    </w:p>
    <w:p w:rsidR="009133E7" w:rsidRPr="009A41C3" w:rsidRDefault="009133E7" w:rsidP="009A41C3">
      <w:pPr>
        <w:spacing w:after="0" w:line="240" w:lineRule="auto"/>
        <w:jc w:val="both"/>
        <w:rPr>
          <w:rFonts w:ascii="Arial" w:hAnsi="Arial" w:cs="Arial"/>
          <w:sz w:val="20"/>
          <w:szCs w:val="20"/>
        </w:rPr>
      </w:pPr>
      <w:r w:rsidRPr="00A73711">
        <w:rPr>
          <w:rFonts w:ascii="Arial" w:hAnsi="Arial" w:cs="Arial"/>
          <w:i/>
          <w:sz w:val="20"/>
          <w:szCs w:val="20"/>
        </w:rPr>
        <w:t>Escala de depresión NNDI-E</w:t>
      </w:r>
      <w:r w:rsidRPr="009A41C3">
        <w:rPr>
          <w:rFonts w:ascii="Arial" w:hAnsi="Arial" w:cs="Arial"/>
          <w:sz w:val="20"/>
          <w:szCs w:val="20"/>
        </w:rPr>
        <w:t>: Por su parte la sospecha de episodio depresivo mayor (EDM) se identificó en 5 pacientes del total lo que representa el 14%. De estos, un 27% pertenecieron al grupo con CE y 4% al grupo con CPnE. Encontrándose mayor sospecha de episodio depresivo en el grupo con CE comparado con las CPnE (a partir de un análisis visual pues el número de pacientes es muy pequeño para realizar algún análisis estadístico). Tabla 3</w:t>
      </w:r>
    </w:p>
    <w:p w:rsidR="009133E7" w:rsidRPr="009A41C3" w:rsidRDefault="009133E7" w:rsidP="009A41C3">
      <w:pPr>
        <w:spacing w:after="0" w:line="240" w:lineRule="auto"/>
        <w:jc w:val="both"/>
        <w:rPr>
          <w:rFonts w:ascii="Arial" w:hAnsi="Arial" w:cs="Arial"/>
          <w:sz w:val="20"/>
          <w:szCs w:val="20"/>
        </w:rPr>
      </w:pPr>
      <w:r w:rsidRPr="00A73711">
        <w:rPr>
          <w:rFonts w:ascii="Arial" w:hAnsi="Arial" w:cs="Arial"/>
          <w:i/>
          <w:sz w:val="20"/>
          <w:szCs w:val="20"/>
        </w:rPr>
        <w:t>Escala de estrategias de afrontamiento</w:t>
      </w:r>
      <w:r w:rsidRPr="009A41C3">
        <w:rPr>
          <w:rFonts w:ascii="Arial" w:hAnsi="Arial" w:cs="Arial"/>
          <w:sz w:val="20"/>
          <w:szCs w:val="20"/>
        </w:rPr>
        <w:t>: El 52% de los pacientes estudiados en el grupo con CPnE manifestaron un afrontamiento por encima de la media (media 69±14SD</w:t>
      </w:r>
      <w:r w:rsidR="00A73711">
        <w:rPr>
          <w:rFonts w:ascii="Arial" w:hAnsi="Arial" w:cs="Arial"/>
          <w:sz w:val="20"/>
          <w:szCs w:val="20"/>
        </w:rPr>
        <w:t>)</w:t>
      </w:r>
      <w:r w:rsidRPr="009A41C3">
        <w:rPr>
          <w:rFonts w:ascii="Arial" w:hAnsi="Arial" w:cs="Arial"/>
          <w:sz w:val="20"/>
          <w:szCs w:val="20"/>
        </w:rPr>
        <w:t xml:space="preserve">. Asimismo 2 pacientes del grupo con CE manifestaron un afrontamiento por encima de la media para un 13% </w:t>
      </w:r>
      <w:r w:rsidR="00A73711">
        <w:rPr>
          <w:rFonts w:ascii="Arial" w:hAnsi="Arial" w:cs="Arial"/>
          <w:sz w:val="20"/>
          <w:szCs w:val="20"/>
        </w:rPr>
        <w:t>(</w:t>
      </w:r>
      <w:r w:rsidRPr="009A41C3">
        <w:rPr>
          <w:rFonts w:ascii="Arial" w:hAnsi="Arial" w:cs="Arial"/>
          <w:sz w:val="20"/>
          <w:szCs w:val="20"/>
        </w:rPr>
        <w:t>media 55±11SD</w:t>
      </w:r>
      <w:r w:rsidR="00A73711">
        <w:rPr>
          <w:rFonts w:ascii="Arial" w:hAnsi="Arial" w:cs="Arial"/>
          <w:sz w:val="20"/>
          <w:szCs w:val="20"/>
        </w:rPr>
        <w:t>)</w:t>
      </w:r>
      <w:r w:rsidRPr="009A41C3">
        <w:rPr>
          <w:rFonts w:ascii="Arial" w:hAnsi="Arial" w:cs="Arial"/>
          <w:sz w:val="20"/>
          <w:szCs w:val="20"/>
        </w:rPr>
        <w:t>. Mostrándose de forma global que el grupo con CPnE utilizó mayor cantidad de estrategias de afrontamiento que el grupo con CE (Mann-Whitney U Test, p=0.002).</w:t>
      </w:r>
    </w:p>
    <w:p w:rsidR="009133E7" w:rsidRPr="009A41C3" w:rsidRDefault="009133E7" w:rsidP="009A41C3">
      <w:pPr>
        <w:spacing w:after="0" w:line="240" w:lineRule="auto"/>
        <w:jc w:val="both"/>
        <w:rPr>
          <w:rFonts w:ascii="Arial" w:hAnsi="Arial" w:cs="Arial"/>
          <w:sz w:val="20"/>
          <w:szCs w:val="20"/>
        </w:rPr>
      </w:pPr>
      <w:r w:rsidRPr="00A73711">
        <w:rPr>
          <w:rFonts w:ascii="Arial" w:hAnsi="Arial" w:cs="Arial"/>
          <w:i/>
          <w:sz w:val="20"/>
          <w:szCs w:val="20"/>
        </w:rPr>
        <w:t>Escala de experiencias disociativas DES-II</w:t>
      </w:r>
      <w:r w:rsidRPr="009A41C3">
        <w:rPr>
          <w:rFonts w:ascii="Arial" w:hAnsi="Arial" w:cs="Arial"/>
          <w:sz w:val="20"/>
          <w:szCs w:val="20"/>
        </w:rPr>
        <w:t xml:space="preserve">: Se identificó que 15 pacientes del grupo con CPnE se encontraban libres de trastornos disociativos (65%), 5 manifestaron la sospecha de estrés postraumático (22%), 2 pacientes la sospecha de trastorno disociativo (9%) y 1 paciente con sospecha de trastorno de personalidad múltiple (4%). </w:t>
      </w:r>
    </w:p>
    <w:p w:rsidR="009133E7" w:rsidRPr="009A41C3" w:rsidRDefault="009133E7" w:rsidP="009A41C3">
      <w:pPr>
        <w:spacing w:after="0" w:line="240" w:lineRule="auto"/>
        <w:jc w:val="both"/>
        <w:rPr>
          <w:rFonts w:ascii="Arial" w:hAnsi="Arial" w:cs="Arial"/>
          <w:sz w:val="20"/>
          <w:szCs w:val="20"/>
        </w:rPr>
      </w:pPr>
      <w:r w:rsidRPr="009A41C3">
        <w:rPr>
          <w:rFonts w:ascii="Arial" w:hAnsi="Arial" w:cs="Arial"/>
          <w:sz w:val="20"/>
          <w:szCs w:val="20"/>
        </w:rPr>
        <w:t>Según el tipo de CPnE se identificó que del grupo con crisis hipomotoras 3 pacientes manifestaron puntuaciones altas (&gt;20 puntos) sugerentes de presencia de experiencias disociativas lo que representa el 23%. Además 10 mostraron valores por debajo de 20 puntos, lo que significa ausencia de experiencias disociativas, para un 77%. Asimismo, en el grupo con crisis hipermotoras 5 pacientes (50%) manifestaron la presencia de experiencias disociativas y 5 pacientes (50%) ausencia de las mismas (proporciones similares de experiencias disociativas).</w:t>
      </w:r>
    </w:p>
    <w:p w:rsidR="009133E7" w:rsidRPr="009A41C3" w:rsidRDefault="009133E7" w:rsidP="009A41C3">
      <w:pPr>
        <w:spacing w:after="0" w:line="240" w:lineRule="auto"/>
        <w:jc w:val="both"/>
        <w:rPr>
          <w:rFonts w:ascii="Arial" w:hAnsi="Arial" w:cs="Arial"/>
          <w:sz w:val="20"/>
          <w:szCs w:val="20"/>
        </w:rPr>
      </w:pPr>
      <w:r w:rsidRPr="009A41C3">
        <w:rPr>
          <w:rFonts w:ascii="Arial" w:hAnsi="Arial" w:cs="Arial"/>
          <w:sz w:val="20"/>
          <w:szCs w:val="20"/>
        </w:rPr>
        <w:t>Se analizan las proporciones de sospecha de experiencias disociativas entre los tipos de CPnE (hipomotoras 3 pacientes/23% e hipermotoras  5 pacientes/50%) y no se encuentran diferencias significativas entre los grupos (p=0.23), es decir</w:t>
      </w:r>
      <w:r w:rsidR="00B15D24">
        <w:rPr>
          <w:rFonts w:ascii="Arial" w:hAnsi="Arial" w:cs="Arial"/>
          <w:sz w:val="20"/>
          <w:szCs w:val="20"/>
        </w:rPr>
        <w:t>,</w:t>
      </w:r>
      <w:r w:rsidRPr="009A41C3">
        <w:rPr>
          <w:rFonts w:ascii="Arial" w:hAnsi="Arial" w:cs="Arial"/>
          <w:sz w:val="20"/>
          <w:szCs w:val="20"/>
        </w:rPr>
        <w:t xml:space="preserve"> que ambos </w:t>
      </w:r>
      <w:r w:rsidR="00B15D24">
        <w:rPr>
          <w:rFonts w:ascii="Arial" w:hAnsi="Arial" w:cs="Arial"/>
          <w:sz w:val="20"/>
          <w:szCs w:val="20"/>
        </w:rPr>
        <w:t xml:space="preserve">grupos </w:t>
      </w:r>
      <w:r w:rsidRPr="009A41C3">
        <w:rPr>
          <w:rFonts w:ascii="Arial" w:hAnsi="Arial" w:cs="Arial"/>
          <w:sz w:val="20"/>
          <w:szCs w:val="20"/>
        </w:rPr>
        <w:t xml:space="preserve">pueden manifestar experiencias disociativas en porcientos </w:t>
      </w:r>
      <w:r w:rsidR="00B15D24">
        <w:rPr>
          <w:rFonts w:ascii="Arial" w:hAnsi="Arial" w:cs="Arial"/>
          <w:sz w:val="20"/>
          <w:szCs w:val="20"/>
        </w:rPr>
        <w:t>equivalentes</w:t>
      </w:r>
      <w:r w:rsidRPr="009A41C3">
        <w:rPr>
          <w:rFonts w:ascii="Arial" w:hAnsi="Arial" w:cs="Arial"/>
          <w:sz w:val="20"/>
          <w:szCs w:val="20"/>
        </w:rPr>
        <w:t xml:space="preserve">. </w:t>
      </w:r>
    </w:p>
    <w:p w:rsidR="009133E7" w:rsidRPr="009A41C3" w:rsidRDefault="009133E7" w:rsidP="009A41C3">
      <w:pPr>
        <w:spacing w:after="0" w:line="240" w:lineRule="auto"/>
        <w:jc w:val="both"/>
        <w:rPr>
          <w:rFonts w:ascii="Arial" w:hAnsi="Arial" w:cs="Arial"/>
          <w:sz w:val="20"/>
          <w:szCs w:val="20"/>
        </w:rPr>
      </w:pPr>
      <w:r w:rsidRPr="009A41C3">
        <w:rPr>
          <w:rFonts w:ascii="Arial" w:hAnsi="Arial" w:cs="Arial"/>
          <w:sz w:val="20"/>
          <w:szCs w:val="20"/>
        </w:rPr>
        <w:t xml:space="preserve">En el grupo con CE se identificó que 9 pacientes se encontraban libre de trastornos disociativos (60%), 3 con la sospecha de trastorno disociativo (20%), 2 con sospecha de estrés postraumático (13%) y 1 con la sospecha de trastorno de personalidad (7%).  </w:t>
      </w:r>
      <w:r w:rsidRPr="009A41C3">
        <w:rPr>
          <w:rFonts w:ascii="Arial" w:hAnsi="Arial" w:cs="Arial"/>
          <w:sz w:val="20"/>
          <w:szCs w:val="20"/>
        </w:rPr>
        <w:cr/>
        <w:t xml:space="preserve">De manera general se encontraron proporciones similares de experiencias disociativas en el grupo con CPnE  (9%) cuando se compara con el grupo con CE (20%), (Mann-Whitney U Test, p=0.54) (no diferencias significativas entre los grupos). </w:t>
      </w:r>
    </w:p>
    <w:p w:rsidR="009133E7" w:rsidRPr="009A41C3" w:rsidRDefault="009133E7" w:rsidP="009A41C3">
      <w:pPr>
        <w:spacing w:after="0" w:line="240" w:lineRule="auto"/>
        <w:jc w:val="both"/>
        <w:rPr>
          <w:rFonts w:ascii="Arial" w:hAnsi="Arial" w:cs="Arial"/>
          <w:sz w:val="20"/>
          <w:szCs w:val="20"/>
        </w:rPr>
      </w:pPr>
      <w:r w:rsidRPr="00A73711">
        <w:rPr>
          <w:rFonts w:ascii="Arial" w:hAnsi="Arial" w:cs="Arial"/>
          <w:i/>
          <w:sz w:val="20"/>
          <w:szCs w:val="20"/>
        </w:rPr>
        <w:t>Resumen de la comparación entre variables demográficas, clínicas y psicológicas entre CPnE y CE</w:t>
      </w:r>
      <w:r w:rsidRPr="009A41C3">
        <w:rPr>
          <w:rFonts w:ascii="Arial" w:hAnsi="Arial" w:cs="Arial"/>
          <w:sz w:val="20"/>
          <w:szCs w:val="20"/>
        </w:rPr>
        <w:t xml:space="preserve">: Se identifica inestabilidad emocional en un número reducido de los pacientes, encontrándose diferencias entre CPnE y las CE (Estadística no paramétrica, comparación entre grupos independientes, Mann-Whitney U Test). Destacándose la sospecha de mayor inestabilidad emocional en el grupo con CE comparado con el grupo con CPnE. </w:t>
      </w:r>
    </w:p>
    <w:p w:rsidR="009133E7" w:rsidRPr="009A41C3" w:rsidRDefault="009133E7" w:rsidP="009A41C3">
      <w:pPr>
        <w:spacing w:after="0" w:line="240" w:lineRule="auto"/>
        <w:jc w:val="both"/>
        <w:rPr>
          <w:rFonts w:ascii="Arial" w:hAnsi="Arial" w:cs="Arial"/>
          <w:sz w:val="20"/>
          <w:szCs w:val="20"/>
        </w:rPr>
      </w:pPr>
      <w:r w:rsidRPr="009A41C3">
        <w:rPr>
          <w:rFonts w:ascii="Arial" w:hAnsi="Arial" w:cs="Arial"/>
          <w:sz w:val="20"/>
          <w:szCs w:val="20"/>
        </w:rPr>
        <w:t xml:space="preserve">Entre los pacientes con CPnE y CE se obtuvo diferencias significativas en la edad (p=0,04); la sospecha de ansiedad (p=0,03); los estresores (p=0,002) y el afrontamiento (p=0,002).  Se observó en el grupo con CE mayor </w:t>
      </w:r>
      <w:r w:rsidRPr="009A41C3">
        <w:rPr>
          <w:rFonts w:ascii="Arial" w:hAnsi="Arial" w:cs="Arial"/>
          <w:sz w:val="20"/>
          <w:szCs w:val="20"/>
        </w:rPr>
        <w:lastRenderedPageBreak/>
        <w:t>rango de edad y la sospecha de ansiedad comparado con el grupo con CPnE. Asimismo se observó en el grupo con CPnE la tendencia a mayor número de estresores y mayor uso de estrategias de afrontamiento en comparación con las CE.</w:t>
      </w:r>
    </w:p>
    <w:p w:rsidR="009133E7" w:rsidRPr="009A41C3" w:rsidRDefault="009133E7" w:rsidP="009A41C3">
      <w:pPr>
        <w:spacing w:after="0" w:line="240" w:lineRule="auto"/>
        <w:jc w:val="both"/>
        <w:rPr>
          <w:rFonts w:ascii="Arial" w:hAnsi="Arial" w:cs="Arial"/>
          <w:sz w:val="20"/>
          <w:szCs w:val="20"/>
        </w:rPr>
      </w:pPr>
      <w:r w:rsidRPr="009A41C3">
        <w:rPr>
          <w:rFonts w:ascii="Arial" w:hAnsi="Arial" w:cs="Arial"/>
          <w:sz w:val="20"/>
          <w:szCs w:val="20"/>
        </w:rPr>
        <w:t>Se realiza una comparación entre el tipo de CPnE (hipermotoras e hipomotoras) y las variables psicológicas y no se encuentran diferencias entre los grupos (p&gt;0.05). Al parecer el tipo de CPnE no influye en la sospecha de ansiedad, sospecha de depresión, estrategias de afrontamiento, experiencias disociativas, ni en los estresores.</w:t>
      </w:r>
    </w:p>
    <w:p w:rsidR="009133E7" w:rsidRPr="009A41C3" w:rsidRDefault="009133E7" w:rsidP="009A41C3">
      <w:pPr>
        <w:spacing w:after="0" w:line="240" w:lineRule="auto"/>
        <w:jc w:val="both"/>
        <w:rPr>
          <w:rFonts w:ascii="Arial" w:hAnsi="Arial" w:cs="Arial"/>
          <w:sz w:val="20"/>
          <w:szCs w:val="20"/>
        </w:rPr>
      </w:pPr>
      <w:r w:rsidRPr="00A73711">
        <w:rPr>
          <w:rFonts w:ascii="Arial" w:hAnsi="Arial" w:cs="Arial"/>
          <w:i/>
          <w:sz w:val="20"/>
          <w:szCs w:val="20"/>
        </w:rPr>
        <w:t>Correlación entre las variables</w:t>
      </w:r>
      <w:r w:rsidRPr="009A41C3">
        <w:rPr>
          <w:rFonts w:ascii="Arial" w:hAnsi="Arial" w:cs="Arial"/>
          <w:sz w:val="20"/>
          <w:szCs w:val="20"/>
        </w:rPr>
        <w:t xml:space="preserve">: En la tabla 4, se observa en el grupo con CPnE una relación positiva entre la edad y el afrontamiento y entre la sospecha de depresión y la historia de estresores. Relación similar se identificó entre las últimas variables mencionadas en el grupo con CPnE de tipo hipomotoras.  </w:t>
      </w:r>
    </w:p>
    <w:p w:rsidR="009133E7" w:rsidRPr="009A41C3" w:rsidRDefault="009133E7" w:rsidP="009A41C3">
      <w:pPr>
        <w:spacing w:after="0" w:line="240" w:lineRule="auto"/>
        <w:jc w:val="both"/>
        <w:rPr>
          <w:rFonts w:ascii="Arial" w:hAnsi="Arial" w:cs="Arial"/>
          <w:sz w:val="20"/>
          <w:szCs w:val="20"/>
        </w:rPr>
      </w:pPr>
    </w:p>
    <w:p w:rsidR="00A952BC" w:rsidRPr="009A41C3" w:rsidRDefault="00A952BC" w:rsidP="009A41C3">
      <w:pPr>
        <w:pStyle w:val="Ttulo2"/>
        <w:framePr w:wrap="notBeside"/>
        <w:shd w:val="clear" w:color="auto" w:fill="F2F2F2" w:themeFill="background1" w:themeFillShade="F2"/>
        <w:jc w:val="both"/>
        <w:rPr>
          <w:rFonts w:cs="Arial"/>
          <w:szCs w:val="20"/>
        </w:rPr>
      </w:pPr>
      <w:r w:rsidRPr="009A41C3">
        <w:rPr>
          <w:rFonts w:cs="Arial"/>
          <w:szCs w:val="20"/>
        </w:rPr>
        <w:t>DISCUSIÓN</w:t>
      </w:r>
    </w:p>
    <w:p w:rsidR="00A952BC" w:rsidRPr="009A41C3" w:rsidRDefault="00A952BC" w:rsidP="009A41C3">
      <w:pPr>
        <w:pStyle w:val="Ttulo3"/>
        <w:framePr w:wrap="notBeside"/>
        <w:shd w:val="clear" w:color="auto" w:fill="F2F2F2" w:themeFill="background1" w:themeFillShade="F2"/>
        <w:jc w:val="both"/>
        <w:rPr>
          <w:rFonts w:cs="Arial"/>
          <w:szCs w:val="20"/>
        </w:rPr>
      </w:pPr>
      <w:r w:rsidRPr="009A41C3">
        <w:rPr>
          <w:rFonts w:cs="Arial"/>
          <w:szCs w:val="20"/>
        </w:rPr>
        <w:t>Novedad de los resultados (1 a 2 párrafos)</w:t>
      </w:r>
    </w:p>
    <w:p w:rsidR="00A952BC" w:rsidRPr="009A41C3" w:rsidRDefault="009133E7" w:rsidP="009A41C3">
      <w:pPr>
        <w:spacing w:after="0" w:line="240" w:lineRule="auto"/>
        <w:jc w:val="both"/>
        <w:rPr>
          <w:rFonts w:ascii="Arial" w:hAnsi="Arial" w:cs="Arial"/>
          <w:sz w:val="20"/>
          <w:szCs w:val="20"/>
        </w:rPr>
      </w:pPr>
      <w:r w:rsidRPr="009A41C3">
        <w:rPr>
          <w:rFonts w:ascii="Arial" w:hAnsi="Arial" w:cs="Arial"/>
          <w:sz w:val="20"/>
          <w:szCs w:val="20"/>
        </w:rPr>
        <w:t xml:space="preserve">En esta investigación se identificó las diferencias en el perfil psicológico de los pacientes con CE y CPnE. Se constató la sospecha de inestabilidad emocional, mayor rango de edad y menor número de estresores en el grupo con CE comparado con el grupo con CPnE. Se identificó en el grupo con CPnE un perfil psicológico caracterizado por mayor estabilidad emocional, mayor uso de estrategias de afrontamiento, mayor cantidad de experiencias disociativas y número de estresores, que el grupo con CE. </w:t>
      </w:r>
      <w:r w:rsidR="00996307" w:rsidRPr="009A41C3">
        <w:rPr>
          <w:rFonts w:ascii="Arial" w:hAnsi="Arial" w:cs="Arial"/>
          <w:sz w:val="20"/>
          <w:szCs w:val="20"/>
        </w:rPr>
        <w:t xml:space="preserve"> Los resultados de esta investigación </w:t>
      </w:r>
      <w:r w:rsidR="00C32170" w:rsidRPr="00C32170">
        <w:rPr>
          <w:rFonts w:ascii="Arial" w:hAnsi="Arial" w:cs="Arial"/>
          <w:sz w:val="20"/>
          <w:szCs w:val="20"/>
        </w:rPr>
        <w:t>constituye</w:t>
      </w:r>
      <w:r w:rsidR="00C32170">
        <w:rPr>
          <w:rFonts w:ascii="Arial" w:hAnsi="Arial" w:cs="Arial"/>
          <w:sz w:val="20"/>
          <w:szCs w:val="20"/>
        </w:rPr>
        <w:t>n</w:t>
      </w:r>
      <w:r w:rsidR="00C32170" w:rsidRPr="00C32170">
        <w:rPr>
          <w:rFonts w:ascii="Arial" w:hAnsi="Arial" w:cs="Arial"/>
          <w:sz w:val="20"/>
          <w:szCs w:val="20"/>
        </w:rPr>
        <w:t xml:space="preserve"> una herramienta útil para discriminar desde el punto psicológico las CE y CPnE</w:t>
      </w:r>
      <w:r w:rsidR="00C32170">
        <w:rPr>
          <w:rFonts w:ascii="Arial" w:hAnsi="Arial" w:cs="Arial"/>
          <w:sz w:val="20"/>
          <w:szCs w:val="20"/>
        </w:rPr>
        <w:t>, así como para la elaboración de intervenciones que pudieran optimizar la calidad de vida de estos pacientes y sus familiares.</w:t>
      </w:r>
    </w:p>
    <w:p w:rsidR="00A952BC" w:rsidRPr="009A41C3" w:rsidRDefault="00A952BC" w:rsidP="009A41C3">
      <w:pPr>
        <w:spacing w:after="0" w:line="240" w:lineRule="auto"/>
        <w:jc w:val="both"/>
        <w:rPr>
          <w:rFonts w:ascii="Arial" w:hAnsi="Arial" w:cs="Arial"/>
          <w:sz w:val="20"/>
          <w:szCs w:val="20"/>
        </w:rPr>
      </w:pPr>
    </w:p>
    <w:p w:rsidR="00A952BC" w:rsidRPr="009A41C3" w:rsidRDefault="00A952BC" w:rsidP="009A41C3">
      <w:pPr>
        <w:pStyle w:val="Ttulo3"/>
        <w:framePr w:wrap="notBeside"/>
        <w:shd w:val="clear" w:color="auto" w:fill="F2F2F2" w:themeFill="background1" w:themeFillShade="F2"/>
        <w:jc w:val="both"/>
        <w:rPr>
          <w:rFonts w:cs="Arial"/>
          <w:szCs w:val="20"/>
        </w:rPr>
      </w:pPr>
      <w:r w:rsidRPr="009A41C3">
        <w:rPr>
          <w:rFonts w:cs="Arial"/>
          <w:szCs w:val="20"/>
        </w:rPr>
        <w:t>Interpretación de los resultados y comparación con los resultados relevantes de otros artículos (Subtítulos adicionales son opcionales)</w:t>
      </w:r>
    </w:p>
    <w:p w:rsidR="009133E7" w:rsidRPr="009A41C3" w:rsidRDefault="00A73711" w:rsidP="009A41C3">
      <w:pPr>
        <w:spacing w:after="0" w:line="240" w:lineRule="auto"/>
        <w:jc w:val="both"/>
        <w:rPr>
          <w:rFonts w:ascii="Arial" w:hAnsi="Arial" w:cs="Arial"/>
          <w:sz w:val="20"/>
          <w:szCs w:val="20"/>
        </w:rPr>
      </w:pPr>
      <w:r w:rsidRPr="00A73711">
        <w:rPr>
          <w:rFonts w:ascii="Arial" w:hAnsi="Arial" w:cs="Arial"/>
          <w:i/>
          <w:sz w:val="20"/>
          <w:szCs w:val="20"/>
        </w:rPr>
        <w:t>Edad de presentación</w:t>
      </w:r>
      <w:r>
        <w:rPr>
          <w:rFonts w:ascii="Arial" w:hAnsi="Arial" w:cs="Arial"/>
          <w:sz w:val="20"/>
          <w:szCs w:val="20"/>
        </w:rPr>
        <w:t xml:space="preserve">: </w:t>
      </w:r>
      <w:r w:rsidR="009133E7" w:rsidRPr="009A41C3">
        <w:rPr>
          <w:rFonts w:ascii="Arial" w:hAnsi="Arial" w:cs="Arial"/>
          <w:sz w:val="20"/>
          <w:szCs w:val="20"/>
        </w:rPr>
        <w:t xml:space="preserve">En relación a la edad de presentación de los eventos paroxísticos no epilépticos, los resultados coinciden con lo reportado relacionado a la ocurrencia de estas crisis en el sexo femenino </w:t>
      </w:r>
      <w:r w:rsidRPr="005919AB">
        <w:rPr>
          <w:rFonts w:ascii="Arial" w:hAnsi="Arial" w:cs="Arial"/>
          <w:sz w:val="20"/>
          <w:szCs w:val="20"/>
          <w:vertAlign w:val="superscript"/>
        </w:rPr>
        <w:t>(</w:t>
      </w:r>
      <w:r w:rsidR="009133E7" w:rsidRPr="005919AB">
        <w:rPr>
          <w:rFonts w:ascii="Arial" w:hAnsi="Arial" w:cs="Arial"/>
          <w:sz w:val="20"/>
          <w:szCs w:val="20"/>
          <w:vertAlign w:val="superscript"/>
        </w:rPr>
        <w:t>15</w:t>
      </w:r>
      <w:r w:rsidRPr="005919AB">
        <w:rPr>
          <w:rFonts w:ascii="Arial" w:hAnsi="Arial" w:cs="Arial"/>
          <w:sz w:val="20"/>
          <w:szCs w:val="20"/>
          <w:vertAlign w:val="superscript"/>
        </w:rPr>
        <w:t>)</w:t>
      </w:r>
      <w:r w:rsidR="009133E7" w:rsidRPr="009A41C3">
        <w:rPr>
          <w:rFonts w:ascii="Arial" w:hAnsi="Arial" w:cs="Arial"/>
          <w:sz w:val="20"/>
          <w:szCs w:val="20"/>
        </w:rPr>
        <w:t xml:space="preserve"> y entre los 15 y 35 años de edad </w:t>
      </w:r>
      <w:r w:rsidRPr="005919AB">
        <w:rPr>
          <w:rFonts w:ascii="Arial" w:hAnsi="Arial" w:cs="Arial"/>
          <w:sz w:val="20"/>
          <w:szCs w:val="20"/>
          <w:vertAlign w:val="superscript"/>
        </w:rPr>
        <w:t>(</w:t>
      </w:r>
      <w:r w:rsidR="009133E7" w:rsidRPr="005919AB">
        <w:rPr>
          <w:rFonts w:ascii="Arial" w:hAnsi="Arial" w:cs="Arial"/>
          <w:sz w:val="20"/>
          <w:szCs w:val="20"/>
          <w:vertAlign w:val="superscript"/>
        </w:rPr>
        <w:t>16</w:t>
      </w:r>
      <w:r w:rsidRPr="005919AB">
        <w:rPr>
          <w:rFonts w:ascii="Arial" w:hAnsi="Arial" w:cs="Arial"/>
          <w:sz w:val="20"/>
          <w:szCs w:val="20"/>
          <w:vertAlign w:val="superscript"/>
        </w:rPr>
        <w:t>)</w:t>
      </w:r>
      <w:r w:rsidR="009133E7" w:rsidRPr="009A41C3">
        <w:rPr>
          <w:rFonts w:ascii="Arial" w:hAnsi="Arial" w:cs="Arial"/>
          <w:sz w:val="20"/>
          <w:szCs w:val="20"/>
        </w:rPr>
        <w:t xml:space="preserve">. Respecto a las CE se ha mencionado que no existe una edad específica de presentación </w:t>
      </w:r>
      <w:r w:rsidRPr="005919AB">
        <w:rPr>
          <w:rFonts w:ascii="Arial" w:hAnsi="Arial" w:cs="Arial"/>
          <w:sz w:val="20"/>
          <w:szCs w:val="20"/>
          <w:vertAlign w:val="superscript"/>
        </w:rPr>
        <w:t>(</w:t>
      </w:r>
      <w:r w:rsidR="009133E7" w:rsidRPr="005919AB">
        <w:rPr>
          <w:rFonts w:ascii="Arial" w:hAnsi="Arial" w:cs="Arial"/>
          <w:sz w:val="20"/>
          <w:szCs w:val="20"/>
          <w:vertAlign w:val="superscript"/>
        </w:rPr>
        <w:t>1</w:t>
      </w:r>
      <w:r w:rsidRPr="005919AB">
        <w:rPr>
          <w:rFonts w:ascii="Arial" w:hAnsi="Arial" w:cs="Arial"/>
          <w:sz w:val="20"/>
          <w:szCs w:val="20"/>
          <w:vertAlign w:val="superscript"/>
        </w:rPr>
        <w:t>)</w:t>
      </w:r>
      <w:r w:rsidR="009133E7" w:rsidRPr="009A41C3">
        <w:rPr>
          <w:rFonts w:ascii="Arial" w:hAnsi="Arial" w:cs="Arial"/>
          <w:sz w:val="20"/>
          <w:szCs w:val="20"/>
        </w:rPr>
        <w:t xml:space="preserve">, y que aparece frecuentemente en diferentes grupos etareos.   </w:t>
      </w:r>
    </w:p>
    <w:p w:rsidR="009133E7" w:rsidRPr="009A41C3" w:rsidRDefault="00A73711" w:rsidP="009A41C3">
      <w:pPr>
        <w:spacing w:after="0" w:line="240" w:lineRule="auto"/>
        <w:jc w:val="both"/>
        <w:rPr>
          <w:rFonts w:ascii="Arial" w:hAnsi="Arial" w:cs="Arial"/>
          <w:sz w:val="20"/>
          <w:szCs w:val="20"/>
        </w:rPr>
      </w:pPr>
      <w:r w:rsidRPr="00A73711">
        <w:rPr>
          <w:rFonts w:ascii="Arial" w:hAnsi="Arial" w:cs="Arial"/>
          <w:i/>
          <w:sz w:val="20"/>
          <w:szCs w:val="20"/>
        </w:rPr>
        <w:t>Estados emocionales</w:t>
      </w:r>
      <w:r>
        <w:rPr>
          <w:rFonts w:ascii="Arial" w:hAnsi="Arial" w:cs="Arial"/>
          <w:sz w:val="20"/>
          <w:szCs w:val="20"/>
        </w:rPr>
        <w:t xml:space="preserve">: </w:t>
      </w:r>
      <w:r w:rsidR="009133E7" w:rsidRPr="009A41C3">
        <w:rPr>
          <w:rFonts w:ascii="Arial" w:hAnsi="Arial" w:cs="Arial"/>
          <w:sz w:val="20"/>
          <w:szCs w:val="20"/>
        </w:rPr>
        <w:t xml:space="preserve">Se identificó en los grupos con CPnE de manera general mayor estabilidad emocional que las CE, esto pudiera estar relacionado con la percepción de normalidad de los síntomas de ansiedad y depresión en los casos con CPnE </w:t>
      </w:r>
      <w:r w:rsidRPr="005919AB">
        <w:rPr>
          <w:rFonts w:ascii="Arial" w:hAnsi="Arial" w:cs="Arial"/>
          <w:sz w:val="20"/>
          <w:szCs w:val="20"/>
          <w:vertAlign w:val="superscript"/>
        </w:rPr>
        <w:t>(</w:t>
      </w:r>
      <w:r w:rsidR="009133E7" w:rsidRPr="005919AB">
        <w:rPr>
          <w:rFonts w:ascii="Arial" w:hAnsi="Arial" w:cs="Arial"/>
          <w:sz w:val="20"/>
          <w:szCs w:val="20"/>
          <w:vertAlign w:val="superscript"/>
        </w:rPr>
        <w:t>17</w:t>
      </w:r>
      <w:r w:rsidRPr="005919AB">
        <w:rPr>
          <w:rFonts w:ascii="Arial" w:hAnsi="Arial" w:cs="Arial"/>
          <w:sz w:val="20"/>
          <w:szCs w:val="20"/>
          <w:vertAlign w:val="superscript"/>
        </w:rPr>
        <w:t>)</w:t>
      </w:r>
      <w:r w:rsidR="009133E7" w:rsidRPr="009A41C3">
        <w:rPr>
          <w:rFonts w:ascii="Arial" w:hAnsi="Arial" w:cs="Arial"/>
          <w:sz w:val="20"/>
          <w:szCs w:val="20"/>
        </w:rPr>
        <w:t xml:space="preserve">.  No obstante en un número reducido se evidenció la sospecha de pacientes con TAG y EDM, lo cual pudiera estar en correspondencia con lo planteado por algunos autores en estudios con CPnE, donde se encontró discretos signos de ansiedad (4 pacientes) y depresión (19 pacientes). </w:t>
      </w:r>
      <w:r w:rsidRPr="005919AB">
        <w:rPr>
          <w:rFonts w:ascii="Arial" w:hAnsi="Arial" w:cs="Arial"/>
          <w:sz w:val="20"/>
          <w:szCs w:val="20"/>
          <w:vertAlign w:val="superscript"/>
        </w:rPr>
        <w:t>(</w:t>
      </w:r>
      <w:r w:rsidR="009133E7" w:rsidRPr="005919AB">
        <w:rPr>
          <w:rFonts w:ascii="Arial" w:hAnsi="Arial" w:cs="Arial"/>
          <w:sz w:val="20"/>
          <w:szCs w:val="20"/>
          <w:vertAlign w:val="superscript"/>
        </w:rPr>
        <w:t>18</w:t>
      </w:r>
      <w:r w:rsidRPr="005919AB">
        <w:rPr>
          <w:rFonts w:ascii="Arial" w:hAnsi="Arial" w:cs="Arial"/>
          <w:sz w:val="20"/>
          <w:szCs w:val="20"/>
          <w:vertAlign w:val="superscript"/>
        </w:rPr>
        <w:t>)</w:t>
      </w:r>
    </w:p>
    <w:p w:rsidR="009133E7" w:rsidRPr="009A41C3" w:rsidRDefault="009133E7" w:rsidP="009A41C3">
      <w:pPr>
        <w:spacing w:after="0" w:line="240" w:lineRule="auto"/>
        <w:jc w:val="both"/>
        <w:rPr>
          <w:rFonts w:ascii="Arial" w:hAnsi="Arial" w:cs="Arial"/>
          <w:sz w:val="20"/>
          <w:szCs w:val="20"/>
        </w:rPr>
      </w:pPr>
      <w:r w:rsidRPr="009A41C3">
        <w:rPr>
          <w:rFonts w:ascii="Arial" w:hAnsi="Arial" w:cs="Arial"/>
          <w:sz w:val="20"/>
          <w:szCs w:val="20"/>
        </w:rPr>
        <w:t xml:space="preserve">Estos aspectos deben tratarse con cautela, pues se conoce que los TAG y EDM son sub-reconocidos y sub-tratados en la actualidad </w:t>
      </w:r>
      <w:r w:rsidR="00A73711" w:rsidRPr="005919AB">
        <w:rPr>
          <w:rFonts w:ascii="Arial" w:hAnsi="Arial" w:cs="Arial"/>
          <w:sz w:val="20"/>
          <w:szCs w:val="20"/>
          <w:vertAlign w:val="superscript"/>
        </w:rPr>
        <w:t>(</w:t>
      </w:r>
      <w:r w:rsidRPr="005919AB">
        <w:rPr>
          <w:rFonts w:ascii="Arial" w:hAnsi="Arial" w:cs="Arial"/>
          <w:sz w:val="20"/>
          <w:szCs w:val="20"/>
          <w:vertAlign w:val="superscript"/>
        </w:rPr>
        <w:t xml:space="preserve">17, </w:t>
      </w:r>
      <w:r w:rsidR="00A351F2" w:rsidRPr="005919AB">
        <w:rPr>
          <w:rFonts w:ascii="Arial" w:hAnsi="Arial" w:cs="Arial"/>
          <w:sz w:val="20"/>
          <w:szCs w:val="20"/>
          <w:vertAlign w:val="superscript"/>
        </w:rPr>
        <w:t>19</w:t>
      </w:r>
      <w:r w:rsidR="00A73711" w:rsidRPr="005919AB">
        <w:rPr>
          <w:rFonts w:ascii="Arial" w:hAnsi="Arial" w:cs="Arial"/>
          <w:sz w:val="20"/>
          <w:szCs w:val="20"/>
          <w:vertAlign w:val="superscript"/>
        </w:rPr>
        <w:t>)</w:t>
      </w:r>
      <w:r w:rsidRPr="009A41C3">
        <w:rPr>
          <w:rFonts w:ascii="Arial" w:hAnsi="Arial" w:cs="Arial"/>
          <w:sz w:val="20"/>
          <w:szCs w:val="20"/>
        </w:rPr>
        <w:t>. Este planteamiento pudiera constituir una de las explicaciones de la baja frecuencia de dificultades en la esfera emocional en los casos con CPnE.</w:t>
      </w:r>
    </w:p>
    <w:p w:rsidR="009133E7" w:rsidRPr="009A41C3" w:rsidRDefault="009133E7" w:rsidP="009A41C3">
      <w:pPr>
        <w:spacing w:after="0" w:line="240" w:lineRule="auto"/>
        <w:jc w:val="both"/>
        <w:rPr>
          <w:rFonts w:ascii="Arial" w:hAnsi="Arial" w:cs="Arial"/>
          <w:sz w:val="20"/>
          <w:szCs w:val="20"/>
        </w:rPr>
      </w:pPr>
      <w:r w:rsidRPr="009A41C3">
        <w:rPr>
          <w:rFonts w:ascii="Arial" w:hAnsi="Arial" w:cs="Arial"/>
          <w:sz w:val="20"/>
          <w:szCs w:val="20"/>
        </w:rPr>
        <w:t xml:space="preserve">Por su parte en los casos con CE se encontró un número mayor (más de la mitad) con sospecha de TAG. Estos hallazgos pudieran estar en concordancia con la idea de que la depresión al igual que la ansiedad y las ideas suicidas son frecuentes en los pacientes con epilepsia </w:t>
      </w:r>
      <w:r w:rsidR="00A73711" w:rsidRPr="005919AB">
        <w:rPr>
          <w:rFonts w:ascii="Arial" w:hAnsi="Arial" w:cs="Arial"/>
          <w:sz w:val="20"/>
          <w:szCs w:val="20"/>
          <w:vertAlign w:val="superscript"/>
        </w:rPr>
        <w:t>(</w:t>
      </w:r>
      <w:r w:rsidRPr="005919AB">
        <w:rPr>
          <w:rFonts w:ascii="Arial" w:hAnsi="Arial" w:cs="Arial"/>
          <w:sz w:val="20"/>
          <w:szCs w:val="20"/>
          <w:vertAlign w:val="superscript"/>
        </w:rPr>
        <w:t>20</w:t>
      </w:r>
      <w:r w:rsidR="00A73711" w:rsidRPr="005919AB">
        <w:rPr>
          <w:rFonts w:ascii="Arial" w:hAnsi="Arial" w:cs="Arial"/>
          <w:sz w:val="20"/>
          <w:szCs w:val="20"/>
          <w:vertAlign w:val="superscript"/>
        </w:rPr>
        <w:t>)</w:t>
      </w:r>
      <w:r w:rsidRPr="009A41C3">
        <w:rPr>
          <w:rFonts w:ascii="Arial" w:hAnsi="Arial" w:cs="Arial"/>
          <w:sz w:val="20"/>
          <w:szCs w:val="20"/>
        </w:rPr>
        <w:t xml:space="preserve"> y se presentan en un 20% y 30% de los casos. </w:t>
      </w:r>
      <w:r w:rsidR="00A73711" w:rsidRPr="005919AB">
        <w:rPr>
          <w:rFonts w:ascii="Arial" w:hAnsi="Arial" w:cs="Arial"/>
          <w:sz w:val="20"/>
          <w:szCs w:val="20"/>
          <w:vertAlign w:val="superscript"/>
        </w:rPr>
        <w:t>(</w:t>
      </w:r>
      <w:r w:rsidRPr="005919AB">
        <w:rPr>
          <w:rFonts w:ascii="Arial" w:hAnsi="Arial" w:cs="Arial"/>
          <w:sz w:val="20"/>
          <w:szCs w:val="20"/>
          <w:vertAlign w:val="superscript"/>
        </w:rPr>
        <w:t>1</w:t>
      </w:r>
      <w:r w:rsidR="00A73711" w:rsidRPr="005919AB">
        <w:rPr>
          <w:rFonts w:ascii="Arial" w:hAnsi="Arial" w:cs="Arial"/>
          <w:sz w:val="20"/>
          <w:szCs w:val="20"/>
          <w:vertAlign w:val="superscript"/>
        </w:rPr>
        <w:t>)</w:t>
      </w:r>
      <w:r w:rsidRPr="009A41C3">
        <w:rPr>
          <w:rFonts w:ascii="Arial" w:hAnsi="Arial" w:cs="Arial"/>
          <w:sz w:val="20"/>
          <w:szCs w:val="20"/>
        </w:rPr>
        <w:t xml:space="preserve"> Refiriéndose recientemente una relación bidireccional entre padecer epilepsia y trastornos emocionales, lo cual puede explicarse por la presencia de mecanismos patógenos comunes en ambas entidades o la presencia de anomalías estructurales subyacentes en el cerebro de ambos trastornos. </w:t>
      </w:r>
      <w:r w:rsidR="00A73711" w:rsidRPr="005919AB">
        <w:rPr>
          <w:rFonts w:ascii="Arial" w:hAnsi="Arial" w:cs="Arial"/>
          <w:sz w:val="20"/>
          <w:szCs w:val="20"/>
          <w:vertAlign w:val="superscript"/>
        </w:rPr>
        <w:t>(</w:t>
      </w:r>
      <w:r w:rsidRPr="005919AB">
        <w:rPr>
          <w:rFonts w:ascii="Arial" w:hAnsi="Arial" w:cs="Arial"/>
          <w:sz w:val="20"/>
          <w:szCs w:val="20"/>
          <w:vertAlign w:val="superscript"/>
        </w:rPr>
        <w:t>21</w:t>
      </w:r>
      <w:r w:rsidR="00A73711" w:rsidRPr="005919AB">
        <w:rPr>
          <w:rFonts w:ascii="Arial" w:hAnsi="Arial" w:cs="Arial"/>
          <w:sz w:val="20"/>
          <w:szCs w:val="20"/>
          <w:vertAlign w:val="superscript"/>
        </w:rPr>
        <w:t>)</w:t>
      </w:r>
      <w:r w:rsidRPr="009A41C3">
        <w:rPr>
          <w:rFonts w:ascii="Arial" w:hAnsi="Arial" w:cs="Arial"/>
          <w:sz w:val="20"/>
          <w:szCs w:val="20"/>
        </w:rPr>
        <w:t xml:space="preserve"> </w:t>
      </w:r>
    </w:p>
    <w:p w:rsidR="009133E7" w:rsidRPr="009A41C3" w:rsidRDefault="00A73711" w:rsidP="009A41C3">
      <w:pPr>
        <w:spacing w:after="0" w:line="240" w:lineRule="auto"/>
        <w:jc w:val="both"/>
        <w:rPr>
          <w:rFonts w:ascii="Arial" w:hAnsi="Arial" w:cs="Arial"/>
          <w:sz w:val="20"/>
          <w:szCs w:val="20"/>
        </w:rPr>
      </w:pPr>
      <w:r w:rsidRPr="00A73711">
        <w:rPr>
          <w:rFonts w:ascii="Arial" w:hAnsi="Arial" w:cs="Arial"/>
          <w:i/>
          <w:sz w:val="20"/>
          <w:szCs w:val="20"/>
        </w:rPr>
        <w:t xml:space="preserve">Afrontamiento: </w:t>
      </w:r>
      <w:r w:rsidR="009133E7" w:rsidRPr="009A41C3">
        <w:rPr>
          <w:rFonts w:ascii="Arial" w:hAnsi="Arial" w:cs="Arial"/>
          <w:sz w:val="20"/>
          <w:szCs w:val="20"/>
        </w:rPr>
        <w:t xml:space="preserve">En relación al afrontamiento, en la casuística estudiada se demostró la presencia de estrategias de afrontamiento en los grupos de pacientes, aunque en los casos con CPnE se manifestó por encima de la media respecto al grupo con CE. </w:t>
      </w:r>
    </w:p>
    <w:p w:rsidR="009133E7" w:rsidRPr="009A41C3" w:rsidRDefault="009133E7" w:rsidP="009A41C3">
      <w:pPr>
        <w:spacing w:after="0" w:line="240" w:lineRule="auto"/>
        <w:jc w:val="both"/>
        <w:rPr>
          <w:rFonts w:ascii="Arial" w:hAnsi="Arial" w:cs="Arial"/>
          <w:sz w:val="20"/>
          <w:szCs w:val="20"/>
        </w:rPr>
      </w:pPr>
      <w:r w:rsidRPr="009A41C3">
        <w:rPr>
          <w:rFonts w:ascii="Arial" w:hAnsi="Arial" w:cs="Arial"/>
          <w:sz w:val="20"/>
          <w:szCs w:val="20"/>
        </w:rPr>
        <w:t xml:space="preserve">En este sentido se ha reportado una elevada alexitimia y el uso de estrategias de afrontamiento mal adaptativa focalizada en las emociones en los pacientes con CPnE y una comorbilidad con trastorno por estrés postraumático </w:t>
      </w:r>
      <w:r w:rsidR="00A73711" w:rsidRPr="005919AB">
        <w:rPr>
          <w:rFonts w:ascii="Arial" w:hAnsi="Arial" w:cs="Arial"/>
          <w:sz w:val="20"/>
          <w:szCs w:val="20"/>
          <w:vertAlign w:val="superscript"/>
        </w:rPr>
        <w:t>(</w:t>
      </w:r>
      <w:r w:rsidRPr="005919AB">
        <w:rPr>
          <w:rFonts w:ascii="Arial" w:hAnsi="Arial" w:cs="Arial"/>
          <w:sz w:val="20"/>
          <w:szCs w:val="20"/>
          <w:vertAlign w:val="superscript"/>
        </w:rPr>
        <w:t>22</w:t>
      </w:r>
      <w:r w:rsidR="00A73711" w:rsidRPr="005919AB">
        <w:rPr>
          <w:rFonts w:ascii="Arial" w:hAnsi="Arial" w:cs="Arial"/>
          <w:sz w:val="20"/>
          <w:szCs w:val="20"/>
          <w:vertAlign w:val="superscript"/>
        </w:rPr>
        <w:t>)</w:t>
      </w:r>
      <w:r w:rsidRPr="009A41C3">
        <w:rPr>
          <w:rFonts w:ascii="Arial" w:hAnsi="Arial" w:cs="Arial"/>
          <w:sz w:val="20"/>
          <w:szCs w:val="20"/>
        </w:rPr>
        <w:t>. Estos autores esbozan que existen discretas áreas de tratamiento que dependen de la comorbilidad sintomatológica, y sugiere que las CPnE contienen distintos subgrupos o tipología. De la información proyectada por estos investigadores se deriva la necesidad de profundizar en los tipos de estrategias utilizadas por estos pacientes (según tipos de CPnE) con el fin de constatar si contribuyeron o no a la adaptación psicosocial, por lo que sería de utilidad realizar estudios evolutivos (longitudinales) relacionados con este proceso.</w:t>
      </w:r>
    </w:p>
    <w:p w:rsidR="009133E7" w:rsidRPr="009A41C3" w:rsidRDefault="009133E7" w:rsidP="009A41C3">
      <w:pPr>
        <w:spacing w:after="0" w:line="240" w:lineRule="auto"/>
        <w:jc w:val="both"/>
        <w:rPr>
          <w:rFonts w:ascii="Arial" w:hAnsi="Arial" w:cs="Arial"/>
          <w:sz w:val="20"/>
          <w:szCs w:val="20"/>
        </w:rPr>
      </w:pPr>
      <w:r w:rsidRPr="009A41C3">
        <w:rPr>
          <w:rFonts w:ascii="Arial" w:hAnsi="Arial" w:cs="Arial"/>
          <w:sz w:val="20"/>
          <w:szCs w:val="20"/>
        </w:rPr>
        <w:t xml:space="preserve">Particularmente en los casos con epilepsia fármacorresistentes se ha reportado que los pacientes que presentan ansiedad interictal tienen altas puntaciones en estilos de afrontamiento emocional y usan estrategias de control de las crisis más frecuentes, aunque la efectividad de las mismas no </w:t>
      </w:r>
      <w:r w:rsidR="00C87F58">
        <w:rPr>
          <w:rFonts w:ascii="Arial" w:hAnsi="Arial" w:cs="Arial"/>
          <w:sz w:val="20"/>
          <w:szCs w:val="20"/>
        </w:rPr>
        <w:t>ha sido</w:t>
      </w:r>
      <w:r w:rsidRPr="009A41C3">
        <w:rPr>
          <w:rFonts w:ascii="Arial" w:hAnsi="Arial" w:cs="Arial"/>
          <w:sz w:val="20"/>
          <w:szCs w:val="20"/>
        </w:rPr>
        <w:t xml:space="preserve"> significativa. </w:t>
      </w:r>
      <w:r w:rsidR="00A73711" w:rsidRPr="005919AB">
        <w:rPr>
          <w:rFonts w:ascii="Arial" w:hAnsi="Arial" w:cs="Arial"/>
          <w:sz w:val="20"/>
          <w:szCs w:val="20"/>
          <w:vertAlign w:val="superscript"/>
        </w:rPr>
        <w:t>(</w:t>
      </w:r>
      <w:r w:rsidRPr="005919AB">
        <w:rPr>
          <w:rFonts w:ascii="Arial" w:hAnsi="Arial" w:cs="Arial"/>
          <w:sz w:val="20"/>
          <w:szCs w:val="20"/>
          <w:vertAlign w:val="superscript"/>
        </w:rPr>
        <w:t>23</w:t>
      </w:r>
      <w:r w:rsidR="00A73711" w:rsidRPr="005919AB">
        <w:rPr>
          <w:rFonts w:ascii="Arial" w:hAnsi="Arial" w:cs="Arial"/>
          <w:sz w:val="20"/>
          <w:szCs w:val="20"/>
          <w:vertAlign w:val="superscript"/>
        </w:rPr>
        <w:t>)</w:t>
      </w:r>
      <w:r w:rsidRPr="009A41C3">
        <w:rPr>
          <w:rFonts w:ascii="Arial" w:hAnsi="Arial" w:cs="Arial"/>
          <w:sz w:val="20"/>
          <w:szCs w:val="20"/>
        </w:rPr>
        <w:t xml:space="preserve"> </w:t>
      </w:r>
    </w:p>
    <w:p w:rsidR="009133E7" w:rsidRPr="009A41C3" w:rsidRDefault="009133E7" w:rsidP="009A41C3">
      <w:pPr>
        <w:spacing w:after="0" w:line="240" w:lineRule="auto"/>
        <w:jc w:val="both"/>
        <w:rPr>
          <w:rFonts w:ascii="Arial" w:hAnsi="Arial" w:cs="Arial"/>
          <w:sz w:val="20"/>
          <w:szCs w:val="20"/>
        </w:rPr>
      </w:pPr>
      <w:r w:rsidRPr="009A41C3">
        <w:rPr>
          <w:rFonts w:ascii="Arial" w:hAnsi="Arial" w:cs="Arial"/>
          <w:sz w:val="20"/>
          <w:szCs w:val="20"/>
        </w:rPr>
        <w:lastRenderedPageBreak/>
        <w:t>Otros investigadores encontraron diferencias significativas en</w:t>
      </w:r>
      <w:r w:rsidR="00370831">
        <w:rPr>
          <w:rFonts w:ascii="Arial" w:hAnsi="Arial" w:cs="Arial"/>
          <w:sz w:val="20"/>
          <w:szCs w:val="20"/>
        </w:rPr>
        <w:t xml:space="preserve"> cuanto al </w:t>
      </w:r>
      <w:r w:rsidRPr="009A41C3">
        <w:rPr>
          <w:rFonts w:ascii="Arial" w:hAnsi="Arial" w:cs="Arial"/>
          <w:sz w:val="20"/>
          <w:szCs w:val="20"/>
        </w:rPr>
        <w:t>género en</w:t>
      </w:r>
      <w:r w:rsidR="00370831">
        <w:rPr>
          <w:rFonts w:ascii="Arial" w:hAnsi="Arial" w:cs="Arial"/>
          <w:sz w:val="20"/>
          <w:szCs w:val="20"/>
        </w:rPr>
        <w:t xml:space="preserve"> pacientes con epilepsia y CPnE en relación a los</w:t>
      </w:r>
      <w:r w:rsidRPr="009A41C3">
        <w:rPr>
          <w:rFonts w:ascii="Arial" w:hAnsi="Arial" w:cs="Arial"/>
          <w:sz w:val="20"/>
          <w:szCs w:val="20"/>
        </w:rPr>
        <w:t xml:space="preserve"> aspectos psiquiátricos, clínicos</w:t>
      </w:r>
      <w:r w:rsidR="00370831">
        <w:rPr>
          <w:rFonts w:ascii="Arial" w:hAnsi="Arial" w:cs="Arial"/>
          <w:sz w:val="20"/>
          <w:szCs w:val="20"/>
        </w:rPr>
        <w:t xml:space="preserve">, </w:t>
      </w:r>
      <w:r w:rsidRPr="009A41C3">
        <w:rPr>
          <w:rFonts w:ascii="Arial" w:hAnsi="Arial" w:cs="Arial"/>
          <w:sz w:val="20"/>
          <w:szCs w:val="20"/>
        </w:rPr>
        <w:t xml:space="preserve">sociodemográficos, la calidad de vida, los niveles de alexitimia, síntomas de ansiedad, depresión y las estrategias de afrontamiento. </w:t>
      </w:r>
      <w:r w:rsidR="00A73711" w:rsidRPr="00DA1323">
        <w:rPr>
          <w:rFonts w:ascii="Arial" w:hAnsi="Arial" w:cs="Arial"/>
          <w:sz w:val="20"/>
          <w:szCs w:val="20"/>
          <w:vertAlign w:val="superscript"/>
        </w:rPr>
        <w:t>(</w:t>
      </w:r>
      <w:r w:rsidRPr="00DA1323">
        <w:rPr>
          <w:rFonts w:ascii="Arial" w:hAnsi="Arial" w:cs="Arial"/>
          <w:sz w:val="20"/>
          <w:szCs w:val="20"/>
          <w:vertAlign w:val="superscript"/>
        </w:rPr>
        <w:t>24</w:t>
      </w:r>
      <w:r w:rsidR="00A73711" w:rsidRPr="00DA1323">
        <w:rPr>
          <w:rFonts w:ascii="Arial" w:hAnsi="Arial" w:cs="Arial"/>
          <w:sz w:val="20"/>
          <w:szCs w:val="20"/>
          <w:vertAlign w:val="superscript"/>
        </w:rPr>
        <w:t>)</w:t>
      </w:r>
    </w:p>
    <w:p w:rsidR="009133E7" w:rsidRPr="009A41C3" w:rsidRDefault="009133E7" w:rsidP="009A41C3">
      <w:pPr>
        <w:spacing w:after="0" w:line="240" w:lineRule="auto"/>
        <w:jc w:val="both"/>
        <w:rPr>
          <w:rFonts w:ascii="Arial" w:hAnsi="Arial" w:cs="Arial"/>
          <w:sz w:val="20"/>
          <w:szCs w:val="20"/>
        </w:rPr>
      </w:pPr>
      <w:r w:rsidRPr="009A41C3">
        <w:rPr>
          <w:rFonts w:ascii="Arial" w:hAnsi="Arial" w:cs="Arial"/>
          <w:sz w:val="20"/>
          <w:szCs w:val="20"/>
        </w:rPr>
        <w:t xml:space="preserve">Por tanto, </w:t>
      </w:r>
      <w:r w:rsidR="0056520C">
        <w:rPr>
          <w:rFonts w:ascii="Arial" w:hAnsi="Arial" w:cs="Arial"/>
          <w:sz w:val="20"/>
          <w:szCs w:val="20"/>
        </w:rPr>
        <w:t>los</w:t>
      </w:r>
      <w:r w:rsidRPr="009A41C3">
        <w:rPr>
          <w:rFonts w:ascii="Arial" w:hAnsi="Arial" w:cs="Arial"/>
          <w:sz w:val="20"/>
          <w:szCs w:val="20"/>
        </w:rPr>
        <w:t xml:space="preserve"> hallazgos </w:t>
      </w:r>
      <w:r w:rsidR="0056520C">
        <w:rPr>
          <w:rFonts w:ascii="Arial" w:hAnsi="Arial" w:cs="Arial"/>
          <w:sz w:val="20"/>
          <w:szCs w:val="20"/>
        </w:rPr>
        <w:t xml:space="preserve">obtenidos </w:t>
      </w:r>
      <w:r w:rsidRPr="009A41C3">
        <w:rPr>
          <w:rFonts w:ascii="Arial" w:hAnsi="Arial" w:cs="Arial"/>
          <w:sz w:val="20"/>
          <w:szCs w:val="20"/>
        </w:rPr>
        <w:t xml:space="preserve">en relación a la afrontamiento en los pacientes con CE parecieran marchan en la dirección planteada por </w:t>
      </w:r>
      <w:r w:rsidR="0056520C">
        <w:rPr>
          <w:rFonts w:ascii="Arial" w:hAnsi="Arial" w:cs="Arial"/>
          <w:sz w:val="20"/>
          <w:szCs w:val="20"/>
        </w:rPr>
        <w:t xml:space="preserve">los </w:t>
      </w:r>
      <w:r w:rsidRPr="009A41C3">
        <w:rPr>
          <w:rFonts w:ascii="Arial" w:hAnsi="Arial" w:cs="Arial"/>
          <w:sz w:val="20"/>
          <w:szCs w:val="20"/>
        </w:rPr>
        <w:t>autores</w:t>
      </w:r>
      <w:r w:rsidR="0056520C">
        <w:rPr>
          <w:rFonts w:ascii="Arial" w:hAnsi="Arial" w:cs="Arial"/>
          <w:sz w:val="20"/>
          <w:szCs w:val="20"/>
        </w:rPr>
        <w:t xml:space="preserve"> referidos con anterioridad</w:t>
      </w:r>
      <w:r w:rsidRPr="009A41C3">
        <w:rPr>
          <w:rFonts w:ascii="Arial" w:hAnsi="Arial" w:cs="Arial"/>
          <w:sz w:val="20"/>
          <w:szCs w:val="20"/>
        </w:rPr>
        <w:t xml:space="preserve">. Aunque se necesita profundizar en este fenómeno desde los síndromes epilépticos específicos, y de la perspectiva de la psicología de la salud, haciendo énfasis en los factores protectores que conforman la capacidad de afrontamiento. Por ejemplo: la autoestima, la asertividad, el estilo de vida, el autoconocimiento de la enfermedad, los cuales pueden favorecerse con terapias psicológicas y por tanto contribuir a mejorar la salud de estos pacientes. </w:t>
      </w:r>
    </w:p>
    <w:p w:rsidR="009133E7" w:rsidRPr="009A41C3" w:rsidRDefault="00A73711" w:rsidP="009A41C3">
      <w:pPr>
        <w:spacing w:after="0" w:line="240" w:lineRule="auto"/>
        <w:jc w:val="both"/>
        <w:rPr>
          <w:rFonts w:ascii="Arial" w:hAnsi="Arial" w:cs="Arial"/>
          <w:sz w:val="20"/>
          <w:szCs w:val="20"/>
        </w:rPr>
      </w:pPr>
      <w:r w:rsidRPr="00A73711">
        <w:rPr>
          <w:rFonts w:ascii="Arial" w:hAnsi="Arial" w:cs="Arial"/>
          <w:i/>
          <w:sz w:val="20"/>
          <w:szCs w:val="20"/>
        </w:rPr>
        <w:t>Experiencias disociativas</w:t>
      </w:r>
      <w:r>
        <w:rPr>
          <w:rFonts w:ascii="Arial" w:hAnsi="Arial" w:cs="Arial"/>
          <w:sz w:val="20"/>
          <w:szCs w:val="20"/>
        </w:rPr>
        <w:t xml:space="preserve">: </w:t>
      </w:r>
      <w:r w:rsidR="009133E7" w:rsidRPr="009A41C3">
        <w:rPr>
          <w:rFonts w:ascii="Arial" w:hAnsi="Arial" w:cs="Arial"/>
          <w:sz w:val="20"/>
          <w:szCs w:val="20"/>
        </w:rPr>
        <w:t xml:space="preserve">En relación a las experiencias disociativas, se debe exponer que la aplicación del cuestionario de experiencias disociativas DES-II, permite realizar un acercamiento a un posible perfil psicopatológico en los casos con CPnE y CE, que debe ser confirmado a posteriori por especialistas en salud mental. En este sentido se debe contar con un enfoque multidisciplinario e interdisciplinario en el diagnóstico certero de patológicas psiquiátricas </w:t>
      </w:r>
      <w:r w:rsidRPr="00DA1323">
        <w:rPr>
          <w:rFonts w:ascii="Arial" w:hAnsi="Arial" w:cs="Arial"/>
          <w:sz w:val="20"/>
          <w:szCs w:val="20"/>
          <w:vertAlign w:val="superscript"/>
        </w:rPr>
        <w:t>(</w:t>
      </w:r>
      <w:r w:rsidR="009133E7" w:rsidRPr="00DA1323">
        <w:rPr>
          <w:rFonts w:ascii="Arial" w:hAnsi="Arial" w:cs="Arial"/>
          <w:sz w:val="20"/>
          <w:szCs w:val="20"/>
          <w:vertAlign w:val="superscript"/>
        </w:rPr>
        <w:t>25, 26</w:t>
      </w:r>
      <w:r w:rsidRPr="00DA1323">
        <w:rPr>
          <w:rFonts w:ascii="Arial" w:hAnsi="Arial" w:cs="Arial"/>
          <w:sz w:val="20"/>
          <w:szCs w:val="20"/>
          <w:vertAlign w:val="superscript"/>
        </w:rPr>
        <w:t>)</w:t>
      </w:r>
      <w:r w:rsidR="009133E7" w:rsidRPr="009A41C3">
        <w:rPr>
          <w:rFonts w:ascii="Arial" w:hAnsi="Arial" w:cs="Arial"/>
          <w:sz w:val="20"/>
          <w:szCs w:val="20"/>
        </w:rPr>
        <w:t xml:space="preserve">, además de utilizar el criterio de otros especialistas con entrenamiento en esta área, pues en la literatura se plantea que la mayoría de los pacientes con CPnE tienen asociado un trastorno psiquiátrico de tipo conversivo. </w:t>
      </w:r>
      <w:r w:rsidRPr="00DA1323">
        <w:rPr>
          <w:rFonts w:ascii="Arial" w:hAnsi="Arial" w:cs="Arial"/>
          <w:sz w:val="20"/>
          <w:szCs w:val="20"/>
          <w:vertAlign w:val="superscript"/>
        </w:rPr>
        <w:t>(</w:t>
      </w:r>
      <w:r w:rsidR="009133E7" w:rsidRPr="00DA1323">
        <w:rPr>
          <w:rFonts w:ascii="Arial" w:hAnsi="Arial" w:cs="Arial"/>
          <w:sz w:val="20"/>
          <w:szCs w:val="20"/>
          <w:vertAlign w:val="superscript"/>
        </w:rPr>
        <w:t>27</w:t>
      </w:r>
      <w:r w:rsidRPr="00DA1323">
        <w:rPr>
          <w:rFonts w:ascii="Arial" w:hAnsi="Arial" w:cs="Arial"/>
          <w:sz w:val="20"/>
          <w:szCs w:val="20"/>
          <w:vertAlign w:val="superscript"/>
        </w:rPr>
        <w:t>)</w:t>
      </w:r>
    </w:p>
    <w:p w:rsidR="009133E7" w:rsidRPr="009A41C3" w:rsidRDefault="009133E7" w:rsidP="009A41C3">
      <w:pPr>
        <w:spacing w:after="0" w:line="240" w:lineRule="auto"/>
        <w:jc w:val="both"/>
        <w:rPr>
          <w:rFonts w:ascii="Arial" w:hAnsi="Arial" w:cs="Arial"/>
          <w:sz w:val="20"/>
          <w:szCs w:val="20"/>
        </w:rPr>
      </w:pPr>
      <w:r w:rsidRPr="009A41C3">
        <w:rPr>
          <w:rFonts w:ascii="Arial" w:hAnsi="Arial" w:cs="Arial"/>
          <w:sz w:val="20"/>
          <w:szCs w:val="20"/>
        </w:rPr>
        <w:t xml:space="preserve">Además es conocido que los pacientes que presentan eventos paroxísticos no epilépticos tienen alta incidencia de comorbilidad psiquiátrica, la cual muchas veces no se sospecha, contribuyendo esto a la perpetuación de las crisis y a esfuerzos mayores en el diagnóstico y tratamiento que redundan en procedimientos costosos y riesgos innecesarios para el paciente. </w:t>
      </w:r>
      <w:r w:rsidR="00A73711" w:rsidRPr="00DA1323">
        <w:rPr>
          <w:rFonts w:ascii="Arial" w:hAnsi="Arial" w:cs="Arial"/>
          <w:sz w:val="20"/>
          <w:szCs w:val="20"/>
          <w:vertAlign w:val="superscript"/>
        </w:rPr>
        <w:t>(</w:t>
      </w:r>
      <w:r w:rsidRPr="00DA1323">
        <w:rPr>
          <w:rFonts w:ascii="Arial" w:hAnsi="Arial" w:cs="Arial"/>
          <w:sz w:val="20"/>
          <w:szCs w:val="20"/>
          <w:vertAlign w:val="superscript"/>
        </w:rPr>
        <w:t>28</w:t>
      </w:r>
      <w:r w:rsidR="00A73711" w:rsidRPr="00DA1323">
        <w:rPr>
          <w:rFonts w:ascii="Arial" w:hAnsi="Arial" w:cs="Arial"/>
          <w:sz w:val="20"/>
          <w:szCs w:val="20"/>
          <w:vertAlign w:val="superscript"/>
        </w:rPr>
        <w:t>)</w:t>
      </w:r>
    </w:p>
    <w:p w:rsidR="009133E7" w:rsidRPr="009A41C3" w:rsidRDefault="009133E7" w:rsidP="009A41C3">
      <w:pPr>
        <w:spacing w:after="0" w:line="240" w:lineRule="auto"/>
        <w:jc w:val="both"/>
        <w:rPr>
          <w:rFonts w:ascii="Arial" w:hAnsi="Arial" w:cs="Arial"/>
          <w:sz w:val="20"/>
          <w:szCs w:val="20"/>
        </w:rPr>
      </w:pPr>
      <w:r w:rsidRPr="009A41C3">
        <w:rPr>
          <w:rFonts w:ascii="Arial" w:hAnsi="Arial" w:cs="Arial"/>
          <w:sz w:val="20"/>
          <w:szCs w:val="20"/>
        </w:rPr>
        <w:t xml:space="preserve">En la actualidad algunos autores exponen distintas razones para considerar las CPnE y los desórdenes disociativos como entidades diferentes </w:t>
      </w:r>
      <w:r w:rsidR="00A73711" w:rsidRPr="00DA1323">
        <w:rPr>
          <w:rFonts w:ascii="Arial" w:hAnsi="Arial" w:cs="Arial"/>
          <w:sz w:val="20"/>
          <w:szCs w:val="20"/>
          <w:vertAlign w:val="superscript"/>
        </w:rPr>
        <w:t>(</w:t>
      </w:r>
      <w:r w:rsidRPr="00DA1323">
        <w:rPr>
          <w:rFonts w:ascii="Arial" w:hAnsi="Arial" w:cs="Arial"/>
          <w:sz w:val="20"/>
          <w:szCs w:val="20"/>
          <w:vertAlign w:val="superscript"/>
        </w:rPr>
        <w:t>29</w:t>
      </w:r>
      <w:r w:rsidR="00A73711" w:rsidRPr="00DA1323">
        <w:rPr>
          <w:rFonts w:ascii="Arial" w:hAnsi="Arial" w:cs="Arial"/>
          <w:sz w:val="20"/>
          <w:szCs w:val="20"/>
          <w:vertAlign w:val="superscript"/>
        </w:rPr>
        <w:t>)</w:t>
      </w:r>
      <w:r w:rsidRPr="009A41C3">
        <w:rPr>
          <w:rFonts w:ascii="Arial" w:hAnsi="Arial" w:cs="Arial"/>
          <w:sz w:val="20"/>
          <w:szCs w:val="20"/>
        </w:rPr>
        <w:t>, aspectos que deben ser ahondados en un futuro inmediato para esclarecer los mecanismos implicados en esta divergencia de opiniones.</w:t>
      </w:r>
    </w:p>
    <w:p w:rsidR="009133E7" w:rsidRPr="009A41C3" w:rsidRDefault="009133E7" w:rsidP="009A41C3">
      <w:pPr>
        <w:spacing w:after="0" w:line="240" w:lineRule="auto"/>
        <w:jc w:val="both"/>
        <w:rPr>
          <w:rFonts w:ascii="Arial" w:hAnsi="Arial" w:cs="Arial"/>
          <w:sz w:val="20"/>
          <w:szCs w:val="20"/>
        </w:rPr>
      </w:pPr>
      <w:r w:rsidRPr="009A41C3">
        <w:rPr>
          <w:rFonts w:ascii="Arial" w:hAnsi="Arial" w:cs="Arial"/>
          <w:sz w:val="20"/>
          <w:szCs w:val="20"/>
        </w:rPr>
        <w:t>En el grupo con CPnE solo una minoría apuntaban a la sospecha de trastorno disociativo. De ahí la importancia de contar con el apoyo de un equipo de especialistas entre ellos el psiquiatra, para profundizar y detectar los casos con otras afectaciones en su salud mental que pudieran estar incidiendo en las crisis, e identificar factores desencadenantes y perpetuantes de las mismas, para su abordaje posterior.</w:t>
      </w:r>
    </w:p>
    <w:p w:rsidR="009133E7" w:rsidRPr="009A41C3" w:rsidRDefault="009133E7" w:rsidP="009A41C3">
      <w:pPr>
        <w:spacing w:after="0" w:line="240" w:lineRule="auto"/>
        <w:jc w:val="both"/>
        <w:rPr>
          <w:rFonts w:ascii="Arial" w:hAnsi="Arial" w:cs="Arial"/>
          <w:sz w:val="20"/>
          <w:szCs w:val="20"/>
        </w:rPr>
      </w:pPr>
      <w:r w:rsidRPr="009A41C3">
        <w:rPr>
          <w:rFonts w:ascii="Arial" w:hAnsi="Arial" w:cs="Arial"/>
          <w:sz w:val="20"/>
          <w:szCs w:val="20"/>
        </w:rPr>
        <w:t xml:space="preserve">Además se pudo identificar la sospecha de trastorno por estrés postraumático en un porciento no despreciable en ambos grupos de pacientes, lo cual coincide con algunos reportes en pacientes específicamente con CPnE. </w:t>
      </w:r>
      <w:r w:rsidR="00A73711" w:rsidRPr="00DA1323">
        <w:rPr>
          <w:rFonts w:ascii="Arial" w:hAnsi="Arial" w:cs="Arial"/>
          <w:sz w:val="20"/>
          <w:szCs w:val="20"/>
          <w:vertAlign w:val="superscript"/>
        </w:rPr>
        <w:t>(</w:t>
      </w:r>
      <w:r w:rsidRPr="00DA1323">
        <w:rPr>
          <w:rFonts w:ascii="Arial" w:hAnsi="Arial" w:cs="Arial"/>
          <w:sz w:val="20"/>
          <w:szCs w:val="20"/>
          <w:vertAlign w:val="superscript"/>
        </w:rPr>
        <w:t>30</w:t>
      </w:r>
      <w:r w:rsidR="00A73711" w:rsidRPr="00DA1323">
        <w:rPr>
          <w:rFonts w:ascii="Arial" w:hAnsi="Arial" w:cs="Arial"/>
          <w:sz w:val="20"/>
          <w:szCs w:val="20"/>
          <w:vertAlign w:val="superscript"/>
        </w:rPr>
        <w:t>)</w:t>
      </w:r>
      <w:r w:rsidRPr="009A41C3">
        <w:rPr>
          <w:rFonts w:ascii="Arial" w:hAnsi="Arial" w:cs="Arial"/>
          <w:sz w:val="20"/>
          <w:szCs w:val="20"/>
        </w:rPr>
        <w:t xml:space="preserve">  </w:t>
      </w:r>
    </w:p>
    <w:p w:rsidR="009133E7" w:rsidRPr="009A41C3" w:rsidRDefault="009133E7" w:rsidP="009A41C3">
      <w:pPr>
        <w:spacing w:after="0" w:line="240" w:lineRule="auto"/>
        <w:jc w:val="both"/>
        <w:rPr>
          <w:rFonts w:ascii="Arial" w:hAnsi="Arial" w:cs="Arial"/>
          <w:sz w:val="20"/>
          <w:szCs w:val="20"/>
        </w:rPr>
      </w:pPr>
      <w:r w:rsidRPr="009A41C3">
        <w:rPr>
          <w:rFonts w:ascii="Arial" w:hAnsi="Arial" w:cs="Arial"/>
          <w:sz w:val="20"/>
          <w:szCs w:val="20"/>
        </w:rPr>
        <w:t xml:space="preserve">En los pacientes con CE se evidenció menos de la mitad con la presencia de experiencias disociativas, sin embargo, este aspecto debe profundizarse, pues se conoce que en los pacientes con epilepsia algunas manifestaciones clínicas sugieren la presencia de crisis de origen no epiléptico y aunque no sean definitorias, son de utilidad. Se debe recordar que la medicina es una ciencia probabilística y no determinista, por lo que el médico debe utilizar sus conocimientos, experiencia y sentido común, para llegar a conclusiones </w:t>
      </w:r>
      <w:r w:rsidR="00A73711" w:rsidRPr="00DA1323">
        <w:rPr>
          <w:rFonts w:ascii="Arial" w:hAnsi="Arial" w:cs="Arial"/>
          <w:sz w:val="20"/>
          <w:szCs w:val="20"/>
          <w:vertAlign w:val="superscript"/>
        </w:rPr>
        <w:t>(</w:t>
      </w:r>
      <w:r w:rsidRPr="00DA1323">
        <w:rPr>
          <w:rFonts w:ascii="Arial" w:hAnsi="Arial" w:cs="Arial"/>
          <w:sz w:val="20"/>
          <w:szCs w:val="20"/>
          <w:vertAlign w:val="superscript"/>
        </w:rPr>
        <w:t>1</w:t>
      </w:r>
      <w:r w:rsidR="00A73711" w:rsidRPr="00DA1323">
        <w:rPr>
          <w:rFonts w:ascii="Arial" w:hAnsi="Arial" w:cs="Arial"/>
          <w:sz w:val="20"/>
          <w:szCs w:val="20"/>
          <w:vertAlign w:val="superscript"/>
        </w:rPr>
        <w:t>)</w:t>
      </w:r>
      <w:r w:rsidRPr="009A41C3">
        <w:rPr>
          <w:rFonts w:ascii="Arial" w:hAnsi="Arial" w:cs="Arial"/>
          <w:sz w:val="20"/>
          <w:szCs w:val="20"/>
        </w:rPr>
        <w:t>, aunque la opinión del psicólogo de la salud también debe ser tomada en cuenta, pues forma parte del equipo médico que atiende a estos pacientes.</w:t>
      </w:r>
    </w:p>
    <w:p w:rsidR="009133E7" w:rsidRPr="009A41C3" w:rsidRDefault="00A73711" w:rsidP="009A41C3">
      <w:pPr>
        <w:spacing w:after="0" w:line="240" w:lineRule="auto"/>
        <w:jc w:val="both"/>
        <w:rPr>
          <w:rFonts w:ascii="Arial" w:hAnsi="Arial" w:cs="Arial"/>
          <w:sz w:val="20"/>
          <w:szCs w:val="20"/>
        </w:rPr>
      </w:pPr>
      <w:r w:rsidRPr="00A73711">
        <w:rPr>
          <w:rFonts w:ascii="Arial" w:hAnsi="Arial" w:cs="Arial"/>
          <w:i/>
          <w:sz w:val="20"/>
          <w:szCs w:val="20"/>
        </w:rPr>
        <w:t>Estresores:</w:t>
      </w:r>
      <w:r>
        <w:rPr>
          <w:rFonts w:ascii="Arial" w:hAnsi="Arial" w:cs="Arial"/>
          <w:sz w:val="20"/>
          <w:szCs w:val="20"/>
        </w:rPr>
        <w:t xml:space="preserve"> </w:t>
      </w:r>
      <w:r w:rsidR="009133E7" w:rsidRPr="009A41C3">
        <w:rPr>
          <w:rFonts w:ascii="Arial" w:hAnsi="Arial" w:cs="Arial"/>
          <w:sz w:val="20"/>
          <w:szCs w:val="20"/>
        </w:rPr>
        <w:t xml:space="preserve">En la casuística estudiada se identificó una historia de estresores lo cual coincide con lo referido por algunos autores, donde se esboza que el perfil clínico de los pacientes con CPnE revela una historia de experiencias traumáticas. </w:t>
      </w:r>
      <w:r w:rsidRPr="00DA1323">
        <w:rPr>
          <w:rFonts w:ascii="Arial" w:hAnsi="Arial" w:cs="Arial"/>
          <w:sz w:val="20"/>
          <w:szCs w:val="20"/>
          <w:vertAlign w:val="superscript"/>
        </w:rPr>
        <w:t>(</w:t>
      </w:r>
      <w:r w:rsidR="009133E7" w:rsidRPr="00DA1323">
        <w:rPr>
          <w:rFonts w:ascii="Arial" w:hAnsi="Arial" w:cs="Arial"/>
          <w:sz w:val="20"/>
          <w:szCs w:val="20"/>
          <w:vertAlign w:val="superscript"/>
        </w:rPr>
        <w:t>4</w:t>
      </w:r>
      <w:r w:rsidRPr="00DA1323">
        <w:rPr>
          <w:rFonts w:ascii="Arial" w:hAnsi="Arial" w:cs="Arial"/>
          <w:sz w:val="20"/>
          <w:szCs w:val="20"/>
          <w:vertAlign w:val="superscript"/>
        </w:rPr>
        <w:t>)</w:t>
      </w:r>
      <w:r w:rsidR="009133E7" w:rsidRPr="009A41C3">
        <w:rPr>
          <w:rFonts w:ascii="Arial" w:hAnsi="Arial" w:cs="Arial"/>
          <w:sz w:val="20"/>
          <w:szCs w:val="20"/>
        </w:rPr>
        <w:t xml:space="preserve"> </w:t>
      </w:r>
    </w:p>
    <w:p w:rsidR="009133E7" w:rsidRPr="009A41C3" w:rsidRDefault="009133E7" w:rsidP="009A41C3">
      <w:pPr>
        <w:spacing w:after="0" w:line="240" w:lineRule="auto"/>
        <w:jc w:val="both"/>
        <w:rPr>
          <w:rFonts w:ascii="Arial" w:hAnsi="Arial" w:cs="Arial"/>
          <w:sz w:val="20"/>
          <w:szCs w:val="20"/>
        </w:rPr>
      </w:pPr>
      <w:r w:rsidRPr="009A41C3">
        <w:rPr>
          <w:rFonts w:ascii="Arial" w:hAnsi="Arial" w:cs="Arial"/>
          <w:sz w:val="20"/>
          <w:szCs w:val="20"/>
        </w:rPr>
        <w:t>Los eventos traumáticos constituyen sin duda factores de riesgo para la ocurrencia y el mantenimiento de dificultades emocionales en los pacientes con enfermedades crónicas. Por lo que se considera que el haber identificado una historia de estresores en estos pacientes es una información inestimable, que permite tener nuevos elementos para el diseño de estrategias interventivas de corte preventivo, lo cual redundaría en su bienestar emocional y social de estos pacientes.</w:t>
      </w:r>
    </w:p>
    <w:p w:rsidR="009133E7" w:rsidRPr="009A41C3" w:rsidRDefault="009133E7" w:rsidP="009A41C3">
      <w:pPr>
        <w:spacing w:after="0" w:line="240" w:lineRule="auto"/>
        <w:jc w:val="both"/>
        <w:rPr>
          <w:rFonts w:ascii="Arial" w:hAnsi="Arial" w:cs="Arial"/>
          <w:sz w:val="20"/>
          <w:szCs w:val="20"/>
        </w:rPr>
      </w:pPr>
      <w:r w:rsidRPr="009A41C3">
        <w:rPr>
          <w:rFonts w:ascii="Arial" w:hAnsi="Arial" w:cs="Arial"/>
          <w:sz w:val="20"/>
          <w:szCs w:val="20"/>
        </w:rPr>
        <w:t xml:space="preserve">Incluso sería interesante profundizar sobre el consumo de sustancias tóxicas, pues recientemente se ha planteado que los pacientes con CPnE que presentan crisis hipermotoras o motoras generalizadas presentan asociado un trastorno por uso de sustancias. </w:t>
      </w:r>
      <w:r w:rsidR="00A73711" w:rsidRPr="00DA1323">
        <w:rPr>
          <w:rFonts w:ascii="Arial" w:hAnsi="Arial" w:cs="Arial"/>
          <w:sz w:val="20"/>
          <w:szCs w:val="20"/>
          <w:vertAlign w:val="superscript"/>
        </w:rPr>
        <w:t>(</w:t>
      </w:r>
      <w:r w:rsidRPr="00DA1323">
        <w:rPr>
          <w:rFonts w:ascii="Arial" w:hAnsi="Arial" w:cs="Arial"/>
          <w:sz w:val="20"/>
          <w:szCs w:val="20"/>
          <w:vertAlign w:val="superscript"/>
        </w:rPr>
        <w:t>31</w:t>
      </w:r>
      <w:r w:rsidR="00A73711" w:rsidRPr="00DA1323">
        <w:rPr>
          <w:rFonts w:ascii="Arial" w:hAnsi="Arial" w:cs="Arial"/>
          <w:sz w:val="20"/>
          <w:szCs w:val="20"/>
          <w:vertAlign w:val="superscript"/>
        </w:rPr>
        <w:t>)</w:t>
      </w:r>
      <w:r w:rsidRPr="009A41C3">
        <w:rPr>
          <w:rFonts w:ascii="Arial" w:hAnsi="Arial" w:cs="Arial"/>
          <w:sz w:val="20"/>
          <w:szCs w:val="20"/>
        </w:rPr>
        <w:t xml:space="preserve"> </w:t>
      </w:r>
    </w:p>
    <w:p w:rsidR="009133E7" w:rsidRPr="009A41C3" w:rsidRDefault="009133E7" w:rsidP="009A41C3">
      <w:pPr>
        <w:spacing w:after="0" w:line="240" w:lineRule="auto"/>
        <w:jc w:val="both"/>
        <w:rPr>
          <w:rFonts w:ascii="Arial" w:hAnsi="Arial" w:cs="Arial"/>
          <w:sz w:val="20"/>
          <w:szCs w:val="20"/>
        </w:rPr>
      </w:pPr>
      <w:r w:rsidRPr="009A41C3">
        <w:rPr>
          <w:rFonts w:ascii="Arial" w:hAnsi="Arial" w:cs="Arial"/>
          <w:sz w:val="20"/>
          <w:szCs w:val="20"/>
        </w:rPr>
        <w:t>Según los hallazgos encontrados en este estudio, las dificultades en la comunicación con la pareja reportada en los pacientes con CE constituyen una de las preocupaciones que pueden aparecer en las consultas especializadas de psicología, las cuales deben tener un abordaje no solo individual, sino involucrar a la pareja, en el aprendizaje y entrenamiento de una comunicación asertiva.</w:t>
      </w:r>
    </w:p>
    <w:p w:rsidR="009133E7" w:rsidRPr="009A41C3" w:rsidRDefault="009133E7" w:rsidP="009A41C3">
      <w:pPr>
        <w:spacing w:after="0" w:line="240" w:lineRule="auto"/>
        <w:jc w:val="both"/>
        <w:rPr>
          <w:rFonts w:ascii="Arial" w:hAnsi="Arial" w:cs="Arial"/>
          <w:sz w:val="20"/>
          <w:szCs w:val="20"/>
        </w:rPr>
      </w:pPr>
      <w:r w:rsidRPr="009A41C3">
        <w:rPr>
          <w:rFonts w:ascii="Arial" w:hAnsi="Arial" w:cs="Arial"/>
          <w:sz w:val="20"/>
          <w:szCs w:val="20"/>
        </w:rPr>
        <w:t xml:space="preserve">Otros autores han referido que el estrés es un precipitante de convulsiones común e informado por los pacientes con epilepsia. Los estudios hasta la fecha han utilizado diferentes metodologías para identificar las relaciones entre la epilepsia y el estrés. Varios estudios han identificado que la ansiedad, la depresión y el trauma infantil </w:t>
      </w:r>
      <w:r w:rsidRPr="009A41C3">
        <w:rPr>
          <w:rFonts w:ascii="Arial" w:hAnsi="Arial" w:cs="Arial"/>
          <w:sz w:val="20"/>
          <w:szCs w:val="20"/>
        </w:rPr>
        <w:lastRenderedPageBreak/>
        <w:t xml:space="preserve">son más comunes en pacientes con epilepsia que reportan estrés como un precipitante de crisis en comparación con pacientes con epilepsia que no identificaron el estrés como un precipitante de crisis. </w:t>
      </w:r>
      <w:r w:rsidR="00A73711" w:rsidRPr="00DA1323">
        <w:rPr>
          <w:rFonts w:ascii="Arial" w:hAnsi="Arial" w:cs="Arial"/>
          <w:sz w:val="20"/>
          <w:szCs w:val="20"/>
          <w:vertAlign w:val="superscript"/>
        </w:rPr>
        <w:t>(</w:t>
      </w:r>
      <w:r w:rsidRPr="00DA1323">
        <w:rPr>
          <w:rFonts w:ascii="Arial" w:hAnsi="Arial" w:cs="Arial"/>
          <w:sz w:val="20"/>
          <w:szCs w:val="20"/>
          <w:vertAlign w:val="superscript"/>
        </w:rPr>
        <w:t>8</w:t>
      </w:r>
      <w:r w:rsidR="00A73711" w:rsidRPr="00DA1323">
        <w:rPr>
          <w:rFonts w:ascii="Arial" w:hAnsi="Arial" w:cs="Arial"/>
          <w:sz w:val="20"/>
          <w:szCs w:val="20"/>
          <w:vertAlign w:val="superscript"/>
        </w:rPr>
        <w:t>)</w:t>
      </w:r>
      <w:r w:rsidRPr="009A41C3">
        <w:rPr>
          <w:rFonts w:ascii="Arial" w:hAnsi="Arial" w:cs="Arial"/>
          <w:sz w:val="20"/>
          <w:szCs w:val="20"/>
        </w:rPr>
        <w:t xml:space="preserve"> </w:t>
      </w:r>
    </w:p>
    <w:p w:rsidR="009133E7" w:rsidRPr="009A41C3" w:rsidRDefault="009133E7" w:rsidP="009A41C3">
      <w:pPr>
        <w:spacing w:after="0" w:line="240" w:lineRule="auto"/>
        <w:jc w:val="both"/>
        <w:rPr>
          <w:rFonts w:ascii="Arial" w:hAnsi="Arial" w:cs="Arial"/>
          <w:sz w:val="20"/>
          <w:szCs w:val="20"/>
        </w:rPr>
      </w:pPr>
      <w:r w:rsidRPr="009A41C3">
        <w:rPr>
          <w:rFonts w:ascii="Arial" w:hAnsi="Arial" w:cs="Arial"/>
          <w:sz w:val="20"/>
          <w:szCs w:val="20"/>
        </w:rPr>
        <w:t xml:space="preserve">En un estudio realizado recientemente, se encontró que la mayoría de los pacientes con crisis desencadenados por estrés habían usado algún tipo de método de reducción del estrés por sí solos y, de aquellos que lo intentaron, una mayoría sintió que estos métodos mejoraron sus crisis. Además, los ensayos prospectivos de tamaño pequeño a moderado, incluidos los ensayos clínicos aleatorizados, que usan métodos generales de reducción del estrés han demostrado ser prometedores para mejorar los resultados en pacientes con epilepsia, pero los resultados sobre la frecuencia de las crisis han sido inconsistentes. </w:t>
      </w:r>
      <w:r w:rsidR="00A73711" w:rsidRPr="00DA1323">
        <w:rPr>
          <w:rFonts w:ascii="Arial" w:hAnsi="Arial" w:cs="Arial"/>
          <w:sz w:val="20"/>
          <w:szCs w:val="20"/>
          <w:vertAlign w:val="superscript"/>
        </w:rPr>
        <w:t>(</w:t>
      </w:r>
      <w:r w:rsidRPr="00DA1323">
        <w:rPr>
          <w:rFonts w:ascii="Arial" w:hAnsi="Arial" w:cs="Arial"/>
          <w:sz w:val="20"/>
          <w:szCs w:val="20"/>
          <w:vertAlign w:val="superscript"/>
        </w:rPr>
        <w:t>8</w:t>
      </w:r>
      <w:r w:rsidR="00A73711" w:rsidRPr="00DA1323">
        <w:rPr>
          <w:rFonts w:ascii="Arial" w:hAnsi="Arial" w:cs="Arial"/>
          <w:sz w:val="20"/>
          <w:szCs w:val="20"/>
          <w:vertAlign w:val="superscript"/>
        </w:rPr>
        <w:t>)</w:t>
      </w:r>
      <w:r w:rsidRPr="009A41C3">
        <w:rPr>
          <w:rFonts w:ascii="Arial" w:hAnsi="Arial" w:cs="Arial"/>
          <w:sz w:val="20"/>
          <w:szCs w:val="20"/>
        </w:rPr>
        <w:t xml:space="preserve"> </w:t>
      </w:r>
    </w:p>
    <w:p w:rsidR="009133E7" w:rsidRPr="009A41C3" w:rsidRDefault="009133E7" w:rsidP="009A41C3">
      <w:pPr>
        <w:spacing w:after="0" w:line="240" w:lineRule="auto"/>
        <w:jc w:val="both"/>
        <w:rPr>
          <w:rFonts w:ascii="Arial" w:hAnsi="Arial" w:cs="Arial"/>
          <w:sz w:val="20"/>
          <w:szCs w:val="20"/>
        </w:rPr>
      </w:pPr>
      <w:r w:rsidRPr="009A41C3">
        <w:rPr>
          <w:rFonts w:ascii="Arial" w:hAnsi="Arial" w:cs="Arial"/>
          <w:sz w:val="20"/>
          <w:szCs w:val="20"/>
        </w:rPr>
        <w:t xml:space="preserve">Se coincide con la idea de que cuando los médicos se encuentren con pacientes que reportan estrés como un precipitante de las crisis, estos pacientes deben someterse a un examen para detectar un trastorno del estado de ánimo tratable. Además, aunque no se ha demostrado la reducción de las crisis con los métodos de reducción del estrés en un ensayo controlado aleatorizado, se mejoraron otros criterios de valoración importantes, como la calidad de vida. Por lo tanto, la recomendación de métodos de reducción del estrés para pacientes con epilepsia parece ser un complemento razonable de bajo riesgo para los tratamientos estándar. La revisión actual destaca la necesidad de futuras investigaciones para ayudar a aclarar los mecanismos biológicos de la relación estrés-crisis y enfatiza la necesidad de ensayos controlados aleatorios más grandes para ayudar a desarrollar recomendaciones de tratamiento basadas en la evidencia para los pacientes con epilepsia. </w:t>
      </w:r>
      <w:r w:rsidR="00A73711" w:rsidRPr="00DA1323">
        <w:rPr>
          <w:rFonts w:ascii="Arial" w:hAnsi="Arial" w:cs="Arial"/>
          <w:sz w:val="20"/>
          <w:szCs w:val="20"/>
          <w:vertAlign w:val="superscript"/>
        </w:rPr>
        <w:t>(</w:t>
      </w:r>
      <w:r w:rsidRPr="00DA1323">
        <w:rPr>
          <w:rFonts w:ascii="Arial" w:hAnsi="Arial" w:cs="Arial"/>
          <w:sz w:val="20"/>
          <w:szCs w:val="20"/>
          <w:vertAlign w:val="superscript"/>
        </w:rPr>
        <w:t>8</w:t>
      </w:r>
      <w:r w:rsidR="00A73711" w:rsidRPr="00DA1323">
        <w:rPr>
          <w:rFonts w:ascii="Arial" w:hAnsi="Arial" w:cs="Arial"/>
          <w:sz w:val="20"/>
          <w:szCs w:val="20"/>
          <w:vertAlign w:val="superscript"/>
        </w:rPr>
        <w:t>)</w:t>
      </w:r>
      <w:r w:rsidRPr="009A41C3">
        <w:rPr>
          <w:rFonts w:ascii="Arial" w:hAnsi="Arial" w:cs="Arial"/>
          <w:sz w:val="20"/>
          <w:szCs w:val="20"/>
        </w:rPr>
        <w:t xml:space="preserve"> </w:t>
      </w:r>
    </w:p>
    <w:p w:rsidR="009133E7" w:rsidRPr="009A41C3" w:rsidRDefault="009133E7" w:rsidP="009A41C3">
      <w:pPr>
        <w:spacing w:after="0" w:line="240" w:lineRule="auto"/>
        <w:jc w:val="both"/>
        <w:rPr>
          <w:rFonts w:ascii="Arial" w:hAnsi="Arial" w:cs="Arial"/>
          <w:sz w:val="20"/>
          <w:szCs w:val="20"/>
        </w:rPr>
      </w:pPr>
      <w:r w:rsidRPr="00A73711">
        <w:rPr>
          <w:rFonts w:ascii="Arial" w:hAnsi="Arial" w:cs="Arial"/>
          <w:i/>
          <w:sz w:val="20"/>
          <w:szCs w:val="20"/>
        </w:rPr>
        <w:t>Correlación entre las variables de esta investigac</w:t>
      </w:r>
      <w:r w:rsidR="00A73711">
        <w:rPr>
          <w:rFonts w:ascii="Arial" w:hAnsi="Arial" w:cs="Arial"/>
          <w:i/>
          <w:sz w:val="20"/>
          <w:szCs w:val="20"/>
        </w:rPr>
        <w:t xml:space="preserve">ión en los grupos con CE y CPnE: </w:t>
      </w:r>
      <w:r w:rsidRPr="009A41C3">
        <w:rPr>
          <w:rFonts w:ascii="Arial" w:hAnsi="Arial" w:cs="Arial"/>
          <w:sz w:val="20"/>
          <w:szCs w:val="20"/>
        </w:rPr>
        <w:t>S</w:t>
      </w:r>
      <w:r w:rsidR="008D03A9">
        <w:rPr>
          <w:rFonts w:ascii="Arial" w:hAnsi="Arial" w:cs="Arial"/>
          <w:sz w:val="20"/>
          <w:szCs w:val="20"/>
        </w:rPr>
        <w:t>e evidenció mayor</w:t>
      </w:r>
      <w:r w:rsidRPr="009A41C3">
        <w:rPr>
          <w:rFonts w:ascii="Arial" w:hAnsi="Arial" w:cs="Arial"/>
          <w:sz w:val="20"/>
          <w:szCs w:val="20"/>
        </w:rPr>
        <w:t>es correlaciones entre las variables de esta investigación en el grupo con CPnE, que el grupo</w:t>
      </w:r>
      <w:r w:rsidR="008D03A9">
        <w:rPr>
          <w:rFonts w:ascii="Arial" w:hAnsi="Arial" w:cs="Arial"/>
          <w:sz w:val="20"/>
          <w:szCs w:val="20"/>
        </w:rPr>
        <w:t xml:space="preserve"> con CE</w:t>
      </w:r>
      <w:r w:rsidRPr="009A41C3">
        <w:rPr>
          <w:rFonts w:ascii="Arial" w:hAnsi="Arial" w:cs="Arial"/>
          <w:sz w:val="20"/>
          <w:szCs w:val="20"/>
        </w:rPr>
        <w:t xml:space="preserve">.  Encontrándose que a medida que tengan mayor edad utilizarán mayores estrategias de afrontamiento y tendrán menos experiencias disociativas y viceversa. </w:t>
      </w:r>
    </w:p>
    <w:p w:rsidR="009133E7" w:rsidRPr="009A41C3" w:rsidRDefault="009133E7" w:rsidP="009A41C3">
      <w:pPr>
        <w:spacing w:after="0" w:line="240" w:lineRule="auto"/>
        <w:jc w:val="both"/>
        <w:rPr>
          <w:rFonts w:ascii="Arial" w:hAnsi="Arial" w:cs="Arial"/>
          <w:sz w:val="20"/>
          <w:szCs w:val="20"/>
        </w:rPr>
      </w:pPr>
      <w:r w:rsidRPr="009A41C3">
        <w:rPr>
          <w:rFonts w:ascii="Arial" w:hAnsi="Arial" w:cs="Arial"/>
          <w:sz w:val="20"/>
          <w:szCs w:val="20"/>
        </w:rPr>
        <w:t>Se considera que a medida que una persona alcanza la edad adulta pudieran tener mayores recursos para afrontar determinadas situaciones estresantes en la vida, por la experiencia personal e incluso por la disponibilidad y aceptación de las redes de apoyo, aunque esto sería probable en condiciones de salud, pues se conoce que la presencia de una enfermedad (neurológica o psiquiátrica) puede repercutir en el afrontamiento al estrés. Además se considera que la salud desde la perspectiva biopsicosocial es imprescindible para lograr el éxito adaptativo ante cualquier enfermedad.</w:t>
      </w:r>
    </w:p>
    <w:p w:rsidR="009133E7" w:rsidRPr="009A41C3" w:rsidRDefault="008D03A9" w:rsidP="009A41C3">
      <w:pPr>
        <w:spacing w:after="0" w:line="240" w:lineRule="auto"/>
        <w:jc w:val="both"/>
        <w:rPr>
          <w:rFonts w:ascii="Arial" w:hAnsi="Arial" w:cs="Arial"/>
          <w:sz w:val="20"/>
          <w:szCs w:val="20"/>
        </w:rPr>
      </w:pPr>
      <w:r w:rsidRPr="009A41C3">
        <w:rPr>
          <w:rFonts w:ascii="Arial" w:hAnsi="Arial" w:cs="Arial"/>
          <w:sz w:val="20"/>
          <w:szCs w:val="20"/>
        </w:rPr>
        <w:t>Igualmente</w:t>
      </w:r>
      <w:r w:rsidR="009133E7" w:rsidRPr="009A41C3">
        <w:rPr>
          <w:rFonts w:ascii="Arial" w:hAnsi="Arial" w:cs="Arial"/>
          <w:sz w:val="20"/>
          <w:szCs w:val="20"/>
        </w:rPr>
        <w:t>, a medida que en los pacientes con CPnE se sospeche la presencia de un episodio depresivo mayor, se incrementarán los estresores y viceversa.</w:t>
      </w:r>
    </w:p>
    <w:p w:rsidR="009133E7" w:rsidRPr="009A41C3" w:rsidRDefault="009133E7" w:rsidP="009A41C3">
      <w:pPr>
        <w:spacing w:after="0" w:line="240" w:lineRule="auto"/>
        <w:jc w:val="both"/>
        <w:rPr>
          <w:rFonts w:ascii="Arial" w:hAnsi="Arial" w:cs="Arial"/>
          <w:sz w:val="20"/>
          <w:szCs w:val="20"/>
        </w:rPr>
      </w:pPr>
      <w:r w:rsidRPr="009A41C3">
        <w:rPr>
          <w:rFonts w:ascii="Arial" w:hAnsi="Arial" w:cs="Arial"/>
          <w:sz w:val="20"/>
          <w:szCs w:val="20"/>
        </w:rPr>
        <w:t xml:space="preserve">Se conoce que la presencia de múltiples situaciones estresantes puede desencadenar estados emocionales negativos, e incluso, problemas de otra índole, que afectan la salud de aquellas personas que se encuentran inmersos en estas circunstancias. Sin embargo, en dependencia de la perspectiva psicológica teórica en que se analice esta correlación será la interpretación ofrecida, como por ejemplo: desde la perspectiva cognitiva conductual no es la situación en sí la que desencadena los estados emocionales negativos, sino la interpretación que le da el sujeto a esta situación, por tanto la identificación de ideas irracionales es indispensable, porque se conoce desde esta configuración que el pensamiento es responsable de las emociones y de la conducta. </w:t>
      </w:r>
    </w:p>
    <w:p w:rsidR="009133E7" w:rsidRPr="009A41C3" w:rsidRDefault="009133E7" w:rsidP="009A41C3">
      <w:pPr>
        <w:spacing w:after="0" w:line="240" w:lineRule="auto"/>
        <w:jc w:val="both"/>
        <w:rPr>
          <w:rFonts w:ascii="Arial" w:hAnsi="Arial" w:cs="Arial"/>
          <w:sz w:val="20"/>
          <w:szCs w:val="20"/>
        </w:rPr>
      </w:pPr>
      <w:r w:rsidRPr="009A41C3">
        <w:rPr>
          <w:rFonts w:ascii="Arial" w:hAnsi="Arial" w:cs="Arial"/>
          <w:sz w:val="20"/>
          <w:szCs w:val="20"/>
        </w:rPr>
        <w:t xml:space="preserve">En los casos con CPnE se encontró un número reducido de sospecha de trastorno disociativos, sin embargo, el haberlos identificados, exige centrarse en ellos para su explicación. Estos trastornos consisten en un grupo de síndromes cuyo factor común es un trastorno de la conciencia manifestado en alteraciones en la memoria y en la identidad. </w:t>
      </w:r>
      <w:r w:rsidR="00A73711" w:rsidRPr="00DA1323">
        <w:rPr>
          <w:rFonts w:ascii="Arial" w:hAnsi="Arial" w:cs="Arial"/>
          <w:sz w:val="20"/>
          <w:szCs w:val="20"/>
          <w:vertAlign w:val="superscript"/>
        </w:rPr>
        <w:t>(</w:t>
      </w:r>
      <w:r w:rsidRPr="00DA1323">
        <w:rPr>
          <w:rFonts w:ascii="Arial" w:hAnsi="Arial" w:cs="Arial"/>
          <w:sz w:val="20"/>
          <w:szCs w:val="20"/>
          <w:vertAlign w:val="superscript"/>
        </w:rPr>
        <w:t>32, 33</w:t>
      </w:r>
      <w:r w:rsidR="00A73711" w:rsidRPr="00DA1323">
        <w:rPr>
          <w:rFonts w:ascii="Arial" w:hAnsi="Arial" w:cs="Arial"/>
          <w:sz w:val="20"/>
          <w:szCs w:val="20"/>
          <w:vertAlign w:val="superscript"/>
        </w:rPr>
        <w:t>)</w:t>
      </w:r>
      <w:r w:rsidRPr="009A41C3">
        <w:rPr>
          <w:rFonts w:ascii="Arial" w:hAnsi="Arial" w:cs="Arial"/>
          <w:sz w:val="20"/>
          <w:szCs w:val="20"/>
        </w:rPr>
        <w:t>. Específicamente los casos con CPnE se encontraban en la etapa de la adolescencia y la juventud.</w:t>
      </w:r>
    </w:p>
    <w:p w:rsidR="009133E7" w:rsidRPr="00DA1323" w:rsidRDefault="009133E7" w:rsidP="009A41C3">
      <w:pPr>
        <w:spacing w:after="0" w:line="240" w:lineRule="auto"/>
        <w:jc w:val="both"/>
        <w:rPr>
          <w:rFonts w:ascii="Arial" w:hAnsi="Arial" w:cs="Arial"/>
          <w:sz w:val="20"/>
          <w:szCs w:val="20"/>
          <w:vertAlign w:val="superscript"/>
        </w:rPr>
      </w:pPr>
      <w:r w:rsidRPr="009A41C3">
        <w:rPr>
          <w:rFonts w:ascii="Arial" w:hAnsi="Arial" w:cs="Arial"/>
          <w:sz w:val="20"/>
          <w:szCs w:val="20"/>
        </w:rPr>
        <w:t xml:space="preserve">Se plantea que entre los 8 y 13 años hay un mayor potencial de desarrollo de las capacidades disociativas y por tanto, cualquier evento traumático (estresante) puede ser parcialmente integrado y disociado; a su vez, puede constituirse en un potencial factor predisponente de un trastorno disociativo posterior. Los procesos disociativos y la vivencia de traumas muy graves parecen estar asociado al desarrollo de algunas características de trastornos de personalidad y de padecer trastornos disociativos. </w:t>
      </w:r>
      <w:r w:rsidR="00A73711" w:rsidRPr="00DA1323">
        <w:rPr>
          <w:rFonts w:ascii="Arial" w:hAnsi="Arial" w:cs="Arial"/>
          <w:sz w:val="20"/>
          <w:szCs w:val="20"/>
          <w:vertAlign w:val="superscript"/>
        </w:rPr>
        <w:t>(</w:t>
      </w:r>
      <w:r w:rsidRPr="00DA1323">
        <w:rPr>
          <w:rFonts w:ascii="Arial" w:hAnsi="Arial" w:cs="Arial"/>
          <w:sz w:val="20"/>
          <w:szCs w:val="20"/>
          <w:vertAlign w:val="superscript"/>
        </w:rPr>
        <w:t>34</w:t>
      </w:r>
      <w:r w:rsidR="00A73711" w:rsidRPr="00DA1323">
        <w:rPr>
          <w:rFonts w:ascii="Arial" w:hAnsi="Arial" w:cs="Arial"/>
          <w:sz w:val="20"/>
          <w:szCs w:val="20"/>
          <w:vertAlign w:val="superscript"/>
        </w:rPr>
        <w:t>)</w:t>
      </w:r>
    </w:p>
    <w:p w:rsidR="009133E7" w:rsidRPr="009A41C3" w:rsidRDefault="009133E7" w:rsidP="009A41C3">
      <w:pPr>
        <w:spacing w:after="0" w:line="240" w:lineRule="auto"/>
        <w:jc w:val="both"/>
        <w:rPr>
          <w:rFonts w:ascii="Arial" w:hAnsi="Arial" w:cs="Arial"/>
          <w:sz w:val="20"/>
          <w:szCs w:val="20"/>
        </w:rPr>
      </w:pPr>
      <w:r w:rsidRPr="009A41C3">
        <w:rPr>
          <w:rFonts w:ascii="Arial" w:hAnsi="Arial" w:cs="Arial"/>
          <w:sz w:val="20"/>
          <w:szCs w:val="20"/>
        </w:rPr>
        <w:t>Se coincide con las ideas de Romero et al (2016), donde propone la necesidad de desarrollar modelos que relacionen la personalidad, la psicopatología y la neurobiología para poder comprender y tratar la disociación. En las últimas décadas se ha asistido a un espectacular avance en las neurociencias y, sin embargo, el conocimiento sobre los fenómenos y trastornos disociativos sigue siendo esquivo, quizás porque implican directamente a la conciencia. Se necesitan nuevas investigaciones, con mayor rigor metodológico, dentro del marco de las neurociencias, donde los estudios neuropsicológicos junto a las técnicas de neuroimágenes funcionales pueden proporcionar nuevas aportaciones que contribuyan a un mayor entendimiento de estos fenómenos y trastornos.</w:t>
      </w:r>
      <w:r w:rsidR="00DA1323">
        <w:rPr>
          <w:rFonts w:ascii="Arial" w:hAnsi="Arial" w:cs="Arial"/>
          <w:sz w:val="20"/>
          <w:szCs w:val="20"/>
        </w:rPr>
        <w:t xml:space="preserve"> </w:t>
      </w:r>
      <w:r w:rsidR="00A73711" w:rsidRPr="00DA1323">
        <w:rPr>
          <w:rFonts w:ascii="Arial" w:hAnsi="Arial" w:cs="Arial"/>
          <w:sz w:val="20"/>
          <w:szCs w:val="20"/>
          <w:vertAlign w:val="superscript"/>
        </w:rPr>
        <w:t>(</w:t>
      </w:r>
      <w:r w:rsidRPr="00DA1323">
        <w:rPr>
          <w:rFonts w:ascii="Arial" w:hAnsi="Arial" w:cs="Arial"/>
          <w:sz w:val="20"/>
          <w:szCs w:val="20"/>
          <w:vertAlign w:val="superscript"/>
        </w:rPr>
        <w:t>33</w:t>
      </w:r>
      <w:r w:rsidR="00A73711" w:rsidRPr="00DA1323">
        <w:rPr>
          <w:rFonts w:ascii="Arial" w:hAnsi="Arial" w:cs="Arial"/>
          <w:sz w:val="20"/>
          <w:szCs w:val="20"/>
          <w:vertAlign w:val="superscript"/>
        </w:rPr>
        <w:t>)</w:t>
      </w:r>
    </w:p>
    <w:p w:rsidR="009133E7" w:rsidRPr="009A41C3" w:rsidRDefault="009133E7" w:rsidP="009A41C3">
      <w:pPr>
        <w:spacing w:after="0" w:line="240" w:lineRule="auto"/>
        <w:jc w:val="both"/>
        <w:rPr>
          <w:rFonts w:ascii="Arial" w:hAnsi="Arial" w:cs="Arial"/>
          <w:sz w:val="20"/>
          <w:szCs w:val="20"/>
        </w:rPr>
      </w:pPr>
      <w:r w:rsidRPr="009A41C3">
        <w:rPr>
          <w:rFonts w:ascii="Arial" w:hAnsi="Arial" w:cs="Arial"/>
          <w:sz w:val="20"/>
          <w:szCs w:val="20"/>
        </w:rPr>
        <w:t xml:space="preserve">Por otro lado la relación estadísticamente significativa obtenida entre las variables de esta investigación y los tipos de CPnE (hipomotoras e hipermotoras), significa que a medida que el paciente con CPnE de tipo </w:t>
      </w:r>
      <w:r w:rsidRPr="009A41C3">
        <w:rPr>
          <w:rFonts w:ascii="Arial" w:hAnsi="Arial" w:cs="Arial"/>
          <w:sz w:val="20"/>
          <w:szCs w:val="20"/>
        </w:rPr>
        <w:lastRenderedPageBreak/>
        <w:t>hipomotoras tenga mayor diversidad de agentes estresores van a tener mayor sospecha de la presencia de EDM y viceversa. Asimismo</w:t>
      </w:r>
      <w:r w:rsidR="00F07D77">
        <w:rPr>
          <w:rFonts w:ascii="Arial" w:hAnsi="Arial" w:cs="Arial"/>
          <w:sz w:val="20"/>
          <w:szCs w:val="20"/>
        </w:rPr>
        <w:t>,</w:t>
      </w:r>
      <w:r w:rsidRPr="009A41C3">
        <w:rPr>
          <w:rFonts w:ascii="Arial" w:hAnsi="Arial" w:cs="Arial"/>
          <w:sz w:val="20"/>
          <w:szCs w:val="20"/>
        </w:rPr>
        <w:t xml:space="preserve"> a medida que el paciente con CPnE de tipo hipermotoras tenga menor edad o se encuentre en una etapa menor del desarrollo humano va a manifestar mayores experiencias disociativas y viceversa. </w:t>
      </w:r>
    </w:p>
    <w:p w:rsidR="009133E7" w:rsidRPr="009A41C3" w:rsidRDefault="009133E7" w:rsidP="009A41C3">
      <w:pPr>
        <w:spacing w:after="0" w:line="240" w:lineRule="auto"/>
        <w:jc w:val="both"/>
        <w:rPr>
          <w:rFonts w:ascii="Arial" w:hAnsi="Arial" w:cs="Arial"/>
          <w:sz w:val="20"/>
          <w:szCs w:val="20"/>
        </w:rPr>
      </w:pPr>
      <w:r w:rsidRPr="009A41C3">
        <w:rPr>
          <w:rFonts w:ascii="Arial" w:hAnsi="Arial" w:cs="Arial"/>
          <w:sz w:val="20"/>
          <w:szCs w:val="20"/>
        </w:rPr>
        <w:t xml:space="preserve">En las CPnE se reporta ansiedad en el 22% y 100% y la depresión en un 21% y 60%. </w:t>
      </w:r>
      <w:r w:rsidR="00A73711" w:rsidRPr="00DA1323">
        <w:rPr>
          <w:rFonts w:ascii="Arial" w:hAnsi="Arial" w:cs="Arial"/>
          <w:sz w:val="20"/>
          <w:szCs w:val="20"/>
          <w:vertAlign w:val="superscript"/>
        </w:rPr>
        <w:t>(</w:t>
      </w:r>
      <w:r w:rsidRPr="00DA1323">
        <w:rPr>
          <w:rFonts w:ascii="Arial" w:hAnsi="Arial" w:cs="Arial"/>
          <w:sz w:val="20"/>
          <w:szCs w:val="20"/>
          <w:vertAlign w:val="superscript"/>
        </w:rPr>
        <w:t>1</w:t>
      </w:r>
      <w:r w:rsidR="00A73711" w:rsidRPr="00DA1323">
        <w:rPr>
          <w:rFonts w:ascii="Arial" w:hAnsi="Arial" w:cs="Arial"/>
          <w:sz w:val="20"/>
          <w:szCs w:val="20"/>
          <w:vertAlign w:val="superscript"/>
        </w:rPr>
        <w:t>)</w:t>
      </w:r>
      <w:r w:rsidRPr="009A41C3">
        <w:rPr>
          <w:rFonts w:ascii="Arial" w:hAnsi="Arial" w:cs="Arial"/>
          <w:sz w:val="20"/>
          <w:szCs w:val="20"/>
        </w:rPr>
        <w:t xml:space="preserve"> </w:t>
      </w:r>
    </w:p>
    <w:p w:rsidR="009133E7" w:rsidRPr="00DA1323" w:rsidRDefault="009133E7" w:rsidP="009A41C3">
      <w:pPr>
        <w:spacing w:after="0" w:line="240" w:lineRule="auto"/>
        <w:jc w:val="both"/>
        <w:rPr>
          <w:rFonts w:ascii="Arial" w:hAnsi="Arial" w:cs="Arial"/>
          <w:sz w:val="20"/>
          <w:szCs w:val="20"/>
          <w:vertAlign w:val="superscript"/>
        </w:rPr>
      </w:pPr>
      <w:r w:rsidRPr="009A41C3">
        <w:rPr>
          <w:rFonts w:ascii="Arial" w:hAnsi="Arial" w:cs="Arial"/>
          <w:sz w:val="20"/>
          <w:szCs w:val="20"/>
        </w:rPr>
        <w:t xml:space="preserve">Los trastornos disociativos se asocian a trastorno por estrés postraumático desde la época del 1970, sobre todo con el énfasis de investigar las condiciones desencadenantes de estos procesos. Se postula que el enlentecimiento en la velocidad de procesamiento, medida en pruebas neuropsicológicas, en mujeres con estrés postraumático como consecuencia de maltrato, está asociado a la gravedad de los síntomas y puede ser debido a la necesidad de reasignar recursos para hacer frente a las fuentes de estrés. </w:t>
      </w:r>
      <w:r w:rsidR="00A73711" w:rsidRPr="00DA1323">
        <w:rPr>
          <w:rFonts w:ascii="Arial" w:hAnsi="Arial" w:cs="Arial"/>
          <w:sz w:val="20"/>
          <w:szCs w:val="20"/>
          <w:vertAlign w:val="superscript"/>
        </w:rPr>
        <w:t>(</w:t>
      </w:r>
      <w:r w:rsidRPr="00DA1323">
        <w:rPr>
          <w:rFonts w:ascii="Arial" w:hAnsi="Arial" w:cs="Arial"/>
          <w:sz w:val="20"/>
          <w:szCs w:val="20"/>
          <w:vertAlign w:val="superscript"/>
        </w:rPr>
        <w:t>35, 33</w:t>
      </w:r>
      <w:r w:rsidR="00A73711" w:rsidRPr="00DA1323">
        <w:rPr>
          <w:rFonts w:ascii="Arial" w:hAnsi="Arial" w:cs="Arial"/>
          <w:sz w:val="20"/>
          <w:szCs w:val="20"/>
          <w:vertAlign w:val="superscript"/>
        </w:rPr>
        <w:t>)</w:t>
      </w:r>
    </w:p>
    <w:p w:rsidR="009133E7" w:rsidRPr="009A41C3" w:rsidRDefault="009133E7" w:rsidP="009A41C3">
      <w:pPr>
        <w:spacing w:after="0" w:line="240" w:lineRule="auto"/>
        <w:jc w:val="both"/>
        <w:rPr>
          <w:rFonts w:ascii="Arial" w:hAnsi="Arial" w:cs="Arial"/>
          <w:sz w:val="20"/>
          <w:szCs w:val="20"/>
        </w:rPr>
      </w:pPr>
      <w:r w:rsidRPr="009A41C3">
        <w:rPr>
          <w:rFonts w:ascii="Arial" w:hAnsi="Arial" w:cs="Arial"/>
          <w:sz w:val="20"/>
          <w:szCs w:val="20"/>
        </w:rPr>
        <w:t xml:space="preserve">Posiblemente los resultados obtenidos en los pacientes con crisis hipermotoras entre la edad y las experiencias disociativas en nuestra casuística, pudieran estar vinculados a que la mitad manifestaron puntaciones altas en la escala de experiencias disociativas, y los cuales se encontraban en dos etapas críticas del desarrollo humano (adolescencia y juventud), y como se refería con anterioridad estas edades son más propensas a ocurrir estas experiencias, quizás por el hecho de que las formaciones psicológicas necesarias para interpretar las situaciones no han llegado a su punto de máximo de expresión. </w:t>
      </w:r>
    </w:p>
    <w:p w:rsidR="009133E7" w:rsidRPr="009A41C3" w:rsidRDefault="009133E7" w:rsidP="009A41C3">
      <w:pPr>
        <w:spacing w:after="0" w:line="240" w:lineRule="auto"/>
        <w:jc w:val="both"/>
        <w:rPr>
          <w:rFonts w:ascii="Arial" w:hAnsi="Arial" w:cs="Arial"/>
          <w:sz w:val="20"/>
          <w:szCs w:val="20"/>
        </w:rPr>
      </w:pPr>
      <w:r w:rsidRPr="009A41C3">
        <w:rPr>
          <w:rFonts w:ascii="Arial" w:hAnsi="Arial" w:cs="Arial"/>
          <w:sz w:val="20"/>
          <w:szCs w:val="20"/>
        </w:rPr>
        <w:t xml:space="preserve">En la adolescencia el pensamiento adquiere un carácter conceptual teórico u operatorio formal y en la juventud existe una consolidación del pensamiento teórico adquiriendo un carácter emocional personal. Por tanto los juicios y valores en la adolescencia cambian bajo la influencia del grupo y en la juventud aparece la concepción del mundo proyectos futuros (sentido de la vida). Es una realidad compleja que debe analizarse a partir de las condiciones internas y externas del desarrollo psicológico humano, el cual no debe ser concebido solo como resultado de la maduración biológica ni como un producto lineal del proceso de socialización del individuo, sino como un proceso en su interrelación dialéctica. El desarrollo psicológico atraviesa en cada período por regularidades que le son distintivas, pero se expresa, de manera única e irrepetible en cada individuo. </w:t>
      </w:r>
      <w:r w:rsidR="00A73711" w:rsidRPr="00DA1323">
        <w:rPr>
          <w:rFonts w:ascii="Arial" w:hAnsi="Arial" w:cs="Arial"/>
          <w:sz w:val="20"/>
          <w:szCs w:val="20"/>
          <w:vertAlign w:val="superscript"/>
        </w:rPr>
        <w:t>(</w:t>
      </w:r>
      <w:r w:rsidRPr="00DA1323">
        <w:rPr>
          <w:rFonts w:ascii="Arial" w:hAnsi="Arial" w:cs="Arial"/>
          <w:sz w:val="20"/>
          <w:szCs w:val="20"/>
          <w:vertAlign w:val="superscript"/>
        </w:rPr>
        <w:t>36</w:t>
      </w:r>
      <w:r w:rsidR="00A73711" w:rsidRPr="00DA1323">
        <w:rPr>
          <w:rFonts w:ascii="Arial" w:hAnsi="Arial" w:cs="Arial"/>
          <w:sz w:val="20"/>
          <w:szCs w:val="20"/>
          <w:vertAlign w:val="superscript"/>
        </w:rPr>
        <w:t>)</w:t>
      </w:r>
      <w:r w:rsidRPr="009A41C3">
        <w:rPr>
          <w:rFonts w:ascii="Arial" w:hAnsi="Arial" w:cs="Arial"/>
          <w:sz w:val="20"/>
          <w:szCs w:val="20"/>
        </w:rPr>
        <w:t xml:space="preserve"> </w:t>
      </w:r>
    </w:p>
    <w:p w:rsidR="009133E7" w:rsidRPr="009A41C3" w:rsidRDefault="009133E7" w:rsidP="009A41C3">
      <w:pPr>
        <w:spacing w:after="0" w:line="240" w:lineRule="auto"/>
        <w:jc w:val="both"/>
        <w:rPr>
          <w:rFonts w:ascii="Arial" w:hAnsi="Arial" w:cs="Arial"/>
          <w:sz w:val="20"/>
          <w:szCs w:val="20"/>
        </w:rPr>
      </w:pPr>
      <w:r w:rsidRPr="009A41C3">
        <w:rPr>
          <w:rFonts w:ascii="Arial" w:hAnsi="Arial" w:cs="Arial"/>
          <w:sz w:val="20"/>
          <w:szCs w:val="20"/>
        </w:rPr>
        <w:t xml:space="preserve">A medida que los pacientes con crisis hipomotoras tengan agentes estresores van a tener mayor probabilidad de tener estados emocionales negativos, y en este sentido varios estudios aunque refiriéndose a la epilepsia, han identificado que la ansiedad, la depresión y el trauma infantil son más comunes en estos pacientes que reportan estrés como un precipitante de crisis en comparación con pacientes con epilepsia que no identificaron el estrés como un precipitante de crisis. </w:t>
      </w:r>
      <w:r w:rsidR="00A73711" w:rsidRPr="00DA1323">
        <w:rPr>
          <w:rFonts w:ascii="Arial" w:hAnsi="Arial" w:cs="Arial"/>
          <w:sz w:val="20"/>
          <w:szCs w:val="20"/>
          <w:vertAlign w:val="superscript"/>
        </w:rPr>
        <w:t>(</w:t>
      </w:r>
      <w:r w:rsidRPr="00DA1323">
        <w:rPr>
          <w:rFonts w:ascii="Arial" w:hAnsi="Arial" w:cs="Arial"/>
          <w:sz w:val="20"/>
          <w:szCs w:val="20"/>
          <w:vertAlign w:val="superscript"/>
        </w:rPr>
        <w:t>8</w:t>
      </w:r>
      <w:r w:rsidR="00A73711" w:rsidRPr="00DA1323">
        <w:rPr>
          <w:rFonts w:ascii="Arial" w:hAnsi="Arial" w:cs="Arial"/>
          <w:sz w:val="20"/>
          <w:szCs w:val="20"/>
          <w:vertAlign w:val="superscript"/>
        </w:rPr>
        <w:t>)</w:t>
      </w:r>
      <w:r w:rsidRPr="009A41C3">
        <w:rPr>
          <w:rFonts w:ascii="Arial" w:hAnsi="Arial" w:cs="Arial"/>
          <w:sz w:val="20"/>
          <w:szCs w:val="20"/>
        </w:rPr>
        <w:t>. Por tanto, pudiera ser posible que ocurra una relación similar en los casos con crisis de origen no epiléptico teniendo en cuenta los resultados obtenidos en la presente investigación. Aunque se ha reportado la posible comorbilidad entre ambas entidades (Epilepsia y CPnE), aspecto no encontrado en esta casuística.</w:t>
      </w:r>
    </w:p>
    <w:p w:rsidR="009133E7" w:rsidRPr="009A41C3" w:rsidRDefault="009133E7" w:rsidP="009A41C3">
      <w:pPr>
        <w:spacing w:after="0" w:line="240" w:lineRule="auto"/>
        <w:jc w:val="both"/>
        <w:rPr>
          <w:rFonts w:ascii="Arial" w:hAnsi="Arial" w:cs="Arial"/>
          <w:sz w:val="20"/>
          <w:szCs w:val="20"/>
        </w:rPr>
      </w:pPr>
      <w:r w:rsidRPr="009A41C3">
        <w:rPr>
          <w:rFonts w:ascii="Arial" w:hAnsi="Arial" w:cs="Arial"/>
          <w:sz w:val="20"/>
          <w:szCs w:val="20"/>
        </w:rPr>
        <w:t>Finalmente la relación negativa obtenida en el grupo con CE entre la sospecha de episodio depresivo mayor y el afrontamiento significa que a medida que los pacientes con CE se sospechen la presencia de un episodio depresivo utilizarán menores estrategias de afrontamiento y viceversa.</w:t>
      </w:r>
    </w:p>
    <w:p w:rsidR="009133E7" w:rsidRPr="009A41C3" w:rsidRDefault="009133E7" w:rsidP="009A41C3">
      <w:pPr>
        <w:spacing w:after="0" w:line="240" w:lineRule="auto"/>
        <w:jc w:val="both"/>
        <w:rPr>
          <w:rFonts w:ascii="Arial" w:hAnsi="Arial" w:cs="Arial"/>
          <w:sz w:val="20"/>
          <w:szCs w:val="20"/>
        </w:rPr>
      </w:pPr>
      <w:r w:rsidRPr="009A41C3">
        <w:rPr>
          <w:rFonts w:ascii="Arial" w:hAnsi="Arial" w:cs="Arial"/>
          <w:sz w:val="20"/>
          <w:szCs w:val="20"/>
        </w:rPr>
        <w:t xml:space="preserve">Las enfermedades neurológicas crónicas entre ellas la epilepsia, constituyen una entidad clínica compleja que cambia la vida del paciente, no solo psicológica y biológicamente sino en las dinámicas familiares y sociales. El paciente crónico pierde gran parte de su autonomía para la realización de tareas básicas y complejas, lo que conlleva a la importancia de reconocer las estrategias de afrontamiento implementadas por los individuos para hacer frente a su nueva realidad. </w:t>
      </w:r>
      <w:r w:rsidR="00A73711" w:rsidRPr="00DA1323">
        <w:rPr>
          <w:rFonts w:ascii="Arial" w:hAnsi="Arial" w:cs="Arial"/>
          <w:sz w:val="20"/>
          <w:szCs w:val="20"/>
          <w:vertAlign w:val="superscript"/>
        </w:rPr>
        <w:t>(</w:t>
      </w:r>
      <w:r w:rsidRPr="00DA1323">
        <w:rPr>
          <w:rFonts w:ascii="Arial" w:hAnsi="Arial" w:cs="Arial"/>
          <w:sz w:val="20"/>
          <w:szCs w:val="20"/>
          <w:vertAlign w:val="superscript"/>
        </w:rPr>
        <w:t>37</w:t>
      </w:r>
      <w:r w:rsidR="00A73711" w:rsidRPr="00DA1323">
        <w:rPr>
          <w:rFonts w:ascii="Arial" w:hAnsi="Arial" w:cs="Arial"/>
          <w:sz w:val="20"/>
          <w:szCs w:val="20"/>
          <w:vertAlign w:val="superscript"/>
        </w:rPr>
        <w:t>)</w:t>
      </w:r>
      <w:r w:rsidRPr="009A41C3">
        <w:rPr>
          <w:rFonts w:ascii="Arial" w:hAnsi="Arial" w:cs="Arial"/>
          <w:sz w:val="20"/>
          <w:szCs w:val="20"/>
        </w:rPr>
        <w:t xml:space="preserve"> </w:t>
      </w:r>
    </w:p>
    <w:p w:rsidR="009133E7" w:rsidRPr="009A41C3" w:rsidRDefault="009133E7" w:rsidP="009A41C3">
      <w:pPr>
        <w:spacing w:after="0" w:line="240" w:lineRule="auto"/>
        <w:jc w:val="both"/>
        <w:rPr>
          <w:rFonts w:ascii="Arial" w:hAnsi="Arial" w:cs="Arial"/>
          <w:sz w:val="20"/>
          <w:szCs w:val="20"/>
        </w:rPr>
      </w:pPr>
      <w:r w:rsidRPr="009A41C3">
        <w:rPr>
          <w:rFonts w:ascii="Arial" w:hAnsi="Arial" w:cs="Arial"/>
          <w:sz w:val="20"/>
          <w:szCs w:val="20"/>
        </w:rPr>
        <w:t xml:space="preserve">Se armoniza con la idea de que cuando existen limitaciones de recursos, el video EEG de corta duración, junto con la inducción es un método confiable para diagnosticar CPnE. Además la necesidad de un protocolo de evaluación integral (incluida la evaluación de los factores estresantes) para el manejo holístico de CPnE pediátrico </w:t>
      </w:r>
      <w:r w:rsidR="00A73711" w:rsidRPr="00DA1323">
        <w:rPr>
          <w:rFonts w:ascii="Arial" w:hAnsi="Arial" w:cs="Arial"/>
          <w:sz w:val="20"/>
          <w:szCs w:val="20"/>
          <w:vertAlign w:val="superscript"/>
        </w:rPr>
        <w:t>(</w:t>
      </w:r>
      <w:r w:rsidRPr="00DA1323">
        <w:rPr>
          <w:rFonts w:ascii="Arial" w:hAnsi="Arial" w:cs="Arial"/>
          <w:sz w:val="20"/>
          <w:szCs w:val="20"/>
          <w:vertAlign w:val="superscript"/>
        </w:rPr>
        <w:t>38</w:t>
      </w:r>
      <w:r w:rsidR="00A73711" w:rsidRPr="00DA1323">
        <w:rPr>
          <w:rFonts w:ascii="Arial" w:hAnsi="Arial" w:cs="Arial"/>
          <w:sz w:val="20"/>
          <w:szCs w:val="20"/>
          <w:vertAlign w:val="superscript"/>
        </w:rPr>
        <w:t>)</w:t>
      </w:r>
      <w:r w:rsidRPr="009A41C3">
        <w:rPr>
          <w:rFonts w:ascii="Arial" w:hAnsi="Arial" w:cs="Arial"/>
          <w:sz w:val="20"/>
          <w:szCs w:val="20"/>
        </w:rPr>
        <w:t xml:space="preserve">  y de otras etapas del desarrollo humano. </w:t>
      </w:r>
    </w:p>
    <w:p w:rsidR="009133E7" w:rsidRPr="009A41C3" w:rsidRDefault="009133E7" w:rsidP="009A41C3">
      <w:pPr>
        <w:spacing w:after="0" w:line="240" w:lineRule="auto"/>
        <w:jc w:val="both"/>
        <w:rPr>
          <w:rFonts w:ascii="Arial" w:hAnsi="Arial" w:cs="Arial"/>
          <w:sz w:val="20"/>
          <w:szCs w:val="20"/>
        </w:rPr>
      </w:pPr>
      <w:r w:rsidRPr="009A41C3">
        <w:rPr>
          <w:rFonts w:ascii="Arial" w:hAnsi="Arial" w:cs="Arial"/>
          <w:sz w:val="20"/>
          <w:szCs w:val="20"/>
        </w:rPr>
        <w:t xml:space="preserve">A las ideas expuestas con anterioridad se adicionaría, que para la distinción certera de las entidades abordadas en esta investigación, el uso de medios diagnósticos reconocidos internacionalmente es crucial,  además de la labor del psicólogo de la salud como parte del equipo multidisciplinario no solo para apoyar en el diagnóstico clínico de los pacientes con CE y CPnE, sino para identificar aspectos psicológicos que influyen en su calidad de vida y poder elaborar y aplicar estrategias de intervención eficaces con una proyección multidimensional. </w:t>
      </w:r>
    </w:p>
    <w:p w:rsidR="009133E7" w:rsidRPr="009A41C3" w:rsidRDefault="009133E7" w:rsidP="009A41C3">
      <w:pPr>
        <w:spacing w:after="0" w:line="240" w:lineRule="auto"/>
        <w:jc w:val="both"/>
        <w:rPr>
          <w:rFonts w:ascii="Arial" w:hAnsi="Arial" w:cs="Arial"/>
          <w:sz w:val="20"/>
          <w:szCs w:val="20"/>
        </w:rPr>
      </w:pPr>
    </w:p>
    <w:p w:rsidR="00A952BC" w:rsidRPr="009A41C3" w:rsidRDefault="00A952BC" w:rsidP="009A41C3">
      <w:pPr>
        <w:pStyle w:val="Ttulo3"/>
        <w:framePr w:wrap="notBeside"/>
        <w:shd w:val="clear" w:color="auto" w:fill="F2F2F2" w:themeFill="background1" w:themeFillShade="F2"/>
        <w:jc w:val="both"/>
        <w:rPr>
          <w:rFonts w:cs="Arial"/>
          <w:szCs w:val="20"/>
        </w:rPr>
      </w:pPr>
      <w:r w:rsidRPr="009A41C3">
        <w:rPr>
          <w:rFonts w:cs="Arial"/>
          <w:szCs w:val="20"/>
        </w:rPr>
        <w:t>Limitaciones del estudio (1 párrafo)</w:t>
      </w:r>
    </w:p>
    <w:p w:rsidR="00A952BC" w:rsidRPr="009A41C3" w:rsidRDefault="009133E7" w:rsidP="009A41C3">
      <w:pPr>
        <w:spacing w:after="0" w:line="240" w:lineRule="auto"/>
        <w:jc w:val="both"/>
        <w:rPr>
          <w:rFonts w:ascii="Arial" w:hAnsi="Arial" w:cs="Arial"/>
          <w:sz w:val="20"/>
          <w:szCs w:val="20"/>
        </w:rPr>
      </w:pPr>
      <w:r w:rsidRPr="009A41C3">
        <w:rPr>
          <w:rFonts w:ascii="Arial" w:hAnsi="Arial" w:cs="Arial"/>
          <w:sz w:val="20"/>
          <w:szCs w:val="20"/>
        </w:rPr>
        <w:t xml:space="preserve">En investigaciones posteriores es deseable contar con un volumen </w:t>
      </w:r>
      <w:r w:rsidR="00BD2D62" w:rsidRPr="009A41C3">
        <w:rPr>
          <w:rFonts w:ascii="Arial" w:hAnsi="Arial" w:cs="Arial"/>
          <w:sz w:val="20"/>
          <w:szCs w:val="20"/>
        </w:rPr>
        <w:t xml:space="preserve">más elevado </w:t>
      </w:r>
      <w:r w:rsidRPr="009A41C3">
        <w:rPr>
          <w:rFonts w:ascii="Arial" w:hAnsi="Arial" w:cs="Arial"/>
          <w:sz w:val="20"/>
          <w:szCs w:val="20"/>
        </w:rPr>
        <w:t>de pacientes con CE y CPnE, de forma que los resultados sean más robustos y generalizables. Un fallo metodológico de nuestro trabajo es no haber empleado de forma complementaria el diagnóstico aportado por un especialista en Psiquiatría para confirmar la presencia o ausencia de TAG y EDM</w:t>
      </w:r>
      <w:r w:rsidR="00B7655E">
        <w:rPr>
          <w:rFonts w:ascii="Arial" w:hAnsi="Arial" w:cs="Arial"/>
          <w:sz w:val="20"/>
          <w:szCs w:val="20"/>
        </w:rPr>
        <w:t>, así como, características de personalidad</w:t>
      </w:r>
      <w:r w:rsidRPr="009A41C3">
        <w:rPr>
          <w:rFonts w:ascii="Arial" w:hAnsi="Arial" w:cs="Arial"/>
          <w:sz w:val="20"/>
          <w:szCs w:val="20"/>
        </w:rPr>
        <w:t>.</w:t>
      </w:r>
    </w:p>
    <w:p w:rsidR="009133E7" w:rsidRPr="009A41C3" w:rsidRDefault="009133E7" w:rsidP="009A41C3">
      <w:pPr>
        <w:spacing w:after="0" w:line="240" w:lineRule="auto"/>
        <w:jc w:val="both"/>
        <w:rPr>
          <w:rFonts w:ascii="Arial" w:hAnsi="Arial" w:cs="Arial"/>
          <w:sz w:val="20"/>
          <w:szCs w:val="20"/>
        </w:rPr>
      </w:pPr>
    </w:p>
    <w:p w:rsidR="00A952BC" w:rsidRPr="009A41C3" w:rsidRDefault="008E0828" w:rsidP="009A41C3">
      <w:pPr>
        <w:pStyle w:val="Ttulo3"/>
        <w:framePr w:wrap="notBeside"/>
        <w:shd w:val="clear" w:color="auto" w:fill="F2F2F2" w:themeFill="background1" w:themeFillShade="F2"/>
        <w:jc w:val="both"/>
        <w:rPr>
          <w:rFonts w:cs="Arial"/>
          <w:szCs w:val="20"/>
        </w:rPr>
      </w:pPr>
      <w:r w:rsidRPr="009A41C3">
        <w:rPr>
          <w:rFonts w:cs="Arial"/>
          <w:szCs w:val="20"/>
        </w:rPr>
        <w:lastRenderedPageBreak/>
        <w:t>Conclusiones e i</w:t>
      </w:r>
      <w:r w:rsidR="00A952BC" w:rsidRPr="009A41C3">
        <w:rPr>
          <w:rFonts w:cs="Arial"/>
          <w:szCs w:val="20"/>
        </w:rPr>
        <w:t xml:space="preserve">mplicaciones para la práctica </w:t>
      </w:r>
      <w:r w:rsidRPr="009A41C3">
        <w:rPr>
          <w:rFonts w:cs="Arial"/>
          <w:szCs w:val="20"/>
        </w:rPr>
        <w:t>o</w:t>
      </w:r>
      <w:r w:rsidR="00A952BC" w:rsidRPr="009A41C3">
        <w:rPr>
          <w:rFonts w:cs="Arial"/>
          <w:szCs w:val="20"/>
        </w:rPr>
        <w:t xml:space="preserve"> las investigaciones futuras</w:t>
      </w:r>
      <w:r w:rsidRPr="009A41C3">
        <w:rPr>
          <w:rFonts w:cs="Arial"/>
          <w:szCs w:val="20"/>
        </w:rPr>
        <w:t xml:space="preserve"> (1</w:t>
      </w:r>
      <w:r w:rsidR="00C302EA" w:rsidRPr="009A41C3">
        <w:rPr>
          <w:rFonts w:cs="Arial"/>
          <w:szCs w:val="20"/>
        </w:rPr>
        <w:t xml:space="preserve"> a </w:t>
      </w:r>
      <w:r w:rsidRPr="009A41C3">
        <w:rPr>
          <w:rFonts w:cs="Arial"/>
          <w:szCs w:val="20"/>
        </w:rPr>
        <w:t>3 párrafos)</w:t>
      </w:r>
    </w:p>
    <w:p w:rsidR="001A585B" w:rsidRPr="001A585B" w:rsidRDefault="001A585B" w:rsidP="001A585B">
      <w:pPr>
        <w:spacing w:after="0" w:line="240" w:lineRule="auto"/>
        <w:jc w:val="both"/>
        <w:rPr>
          <w:rFonts w:ascii="Arial" w:hAnsi="Arial" w:cs="Arial"/>
          <w:sz w:val="20"/>
          <w:szCs w:val="20"/>
        </w:rPr>
      </w:pPr>
      <w:r w:rsidRPr="001A585B">
        <w:rPr>
          <w:rFonts w:ascii="Arial" w:hAnsi="Arial" w:cs="Arial"/>
          <w:sz w:val="20"/>
          <w:szCs w:val="20"/>
        </w:rPr>
        <w:t xml:space="preserve">Los resultados obtenidos en nuestra investigación tienen un significado práctico, pues desde la primera entrevista le aporta </w:t>
      </w:r>
      <w:r w:rsidR="00A20C54" w:rsidRPr="001A585B">
        <w:rPr>
          <w:rFonts w:ascii="Arial" w:hAnsi="Arial" w:cs="Arial"/>
          <w:sz w:val="20"/>
          <w:szCs w:val="20"/>
        </w:rPr>
        <w:t>conocimiento</w:t>
      </w:r>
      <w:r w:rsidR="00A20C54">
        <w:rPr>
          <w:rFonts w:ascii="Arial" w:hAnsi="Arial" w:cs="Arial"/>
          <w:sz w:val="20"/>
          <w:szCs w:val="20"/>
        </w:rPr>
        <w:t>s</w:t>
      </w:r>
      <w:r w:rsidR="00A20C54" w:rsidRPr="001A585B">
        <w:rPr>
          <w:rFonts w:ascii="Arial" w:hAnsi="Arial" w:cs="Arial"/>
          <w:sz w:val="20"/>
          <w:szCs w:val="20"/>
        </w:rPr>
        <w:t xml:space="preserve"> </w:t>
      </w:r>
      <w:r w:rsidRPr="001A585B">
        <w:rPr>
          <w:rFonts w:ascii="Arial" w:hAnsi="Arial" w:cs="Arial"/>
          <w:sz w:val="20"/>
          <w:szCs w:val="20"/>
        </w:rPr>
        <w:t xml:space="preserve">a los especialistas </w:t>
      </w:r>
      <w:r w:rsidR="00A20C54">
        <w:rPr>
          <w:rFonts w:ascii="Arial" w:hAnsi="Arial" w:cs="Arial"/>
          <w:sz w:val="20"/>
          <w:szCs w:val="20"/>
        </w:rPr>
        <w:t>sobre</w:t>
      </w:r>
      <w:r w:rsidRPr="001A585B">
        <w:rPr>
          <w:rFonts w:ascii="Arial" w:hAnsi="Arial" w:cs="Arial"/>
          <w:sz w:val="20"/>
          <w:szCs w:val="20"/>
        </w:rPr>
        <w:t xml:space="preserve"> posibles comportamientos psicológicos de estos pacientes que ayudan a dirigir la entrevista y a planificar las posibles intervenciones.</w:t>
      </w:r>
    </w:p>
    <w:p w:rsidR="009133E7" w:rsidRDefault="001A585B" w:rsidP="001A585B">
      <w:pPr>
        <w:spacing w:after="0" w:line="240" w:lineRule="auto"/>
        <w:jc w:val="both"/>
        <w:rPr>
          <w:rFonts w:ascii="Arial" w:hAnsi="Arial" w:cs="Arial"/>
          <w:sz w:val="20"/>
          <w:szCs w:val="20"/>
        </w:rPr>
      </w:pPr>
      <w:r w:rsidRPr="001A585B">
        <w:rPr>
          <w:rFonts w:ascii="Arial" w:hAnsi="Arial" w:cs="Arial"/>
          <w:sz w:val="20"/>
          <w:szCs w:val="20"/>
        </w:rPr>
        <w:t xml:space="preserve">La distinción entre las CPnE y las CE puede ser difícil de establecer, pero no improbable. Por lo que el uso de las herramientas diagnósticas psicológicas utilizadas en esta investigación </w:t>
      </w:r>
      <w:r w:rsidR="004C6B69" w:rsidRPr="001A585B">
        <w:rPr>
          <w:rFonts w:ascii="Arial" w:hAnsi="Arial" w:cs="Arial"/>
          <w:sz w:val="20"/>
          <w:szCs w:val="20"/>
        </w:rPr>
        <w:t>tributa</w:t>
      </w:r>
      <w:r w:rsidRPr="001A585B">
        <w:rPr>
          <w:rFonts w:ascii="Arial" w:hAnsi="Arial" w:cs="Arial"/>
          <w:sz w:val="20"/>
          <w:szCs w:val="20"/>
        </w:rPr>
        <w:t xml:space="preserve"> de manera útil a esta diferenciación.  </w:t>
      </w:r>
    </w:p>
    <w:p w:rsidR="001A585B" w:rsidRPr="009A41C3" w:rsidRDefault="001A585B" w:rsidP="001A585B">
      <w:pPr>
        <w:spacing w:after="0" w:line="240" w:lineRule="auto"/>
        <w:jc w:val="both"/>
        <w:rPr>
          <w:rFonts w:ascii="Arial" w:hAnsi="Arial" w:cs="Arial"/>
          <w:sz w:val="20"/>
          <w:szCs w:val="20"/>
        </w:rPr>
      </w:pPr>
      <w:r w:rsidRPr="009A41C3">
        <w:rPr>
          <w:rFonts w:ascii="Arial" w:hAnsi="Arial" w:cs="Arial"/>
          <w:sz w:val="20"/>
          <w:szCs w:val="20"/>
        </w:rPr>
        <w:t>A manera de conclusión se constata un perfil psicológico caracterizado por estados emocionales, estilos de afrontamiento y estresores desiguales entre las CE y CPnE. El tipo de CPnE y su relación con las variables psicológicas ofrece una información práctica para redirigir la atención integral de este grupo de pacientes. La metodología utilizada constituye una herramienta útil para discriminar desde el punto psicológico las CE y CPnE.</w:t>
      </w:r>
    </w:p>
    <w:p w:rsidR="001A585B" w:rsidRPr="009A41C3" w:rsidRDefault="001A585B" w:rsidP="001A585B">
      <w:pPr>
        <w:spacing w:after="0" w:line="240" w:lineRule="auto"/>
        <w:jc w:val="both"/>
        <w:rPr>
          <w:rFonts w:ascii="Arial" w:hAnsi="Arial" w:cs="Arial"/>
          <w:sz w:val="20"/>
          <w:szCs w:val="20"/>
        </w:rPr>
      </w:pPr>
    </w:p>
    <w:p w:rsidR="00A952BC" w:rsidRPr="009A41C3" w:rsidRDefault="00A952BC" w:rsidP="009A41C3">
      <w:pPr>
        <w:pStyle w:val="Ttulo2"/>
        <w:framePr w:wrap="notBeside"/>
        <w:shd w:val="clear" w:color="auto" w:fill="F2F2F2" w:themeFill="background1" w:themeFillShade="F2"/>
        <w:jc w:val="both"/>
        <w:rPr>
          <w:rFonts w:cs="Arial"/>
          <w:szCs w:val="20"/>
        </w:rPr>
      </w:pPr>
      <w:r w:rsidRPr="009A41C3">
        <w:rPr>
          <w:rFonts w:cs="Arial"/>
          <w:szCs w:val="20"/>
        </w:rPr>
        <w:t>AGRADECIMIENTOS (Sección opcional)</w:t>
      </w:r>
    </w:p>
    <w:p w:rsidR="00A952BC" w:rsidRPr="009A41C3" w:rsidRDefault="00A952BC" w:rsidP="009A41C3">
      <w:pPr>
        <w:spacing w:after="0" w:line="240" w:lineRule="auto"/>
        <w:jc w:val="both"/>
        <w:rPr>
          <w:rFonts w:ascii="Arial" w:hAnsi="Arial" w:cs="Arial"/>
          <w:sz w:val="20"/>
          <w:szCs w:val="20"/>
        </w:rPr>
      </w:pPr>
    </w:p>
    <w:p w:rsidR="00A15D6F" w:rsidRPr="009A41C3" w:rsidRDefault="00A15D6F" w:rsidP="009A41C3">
      <w:pPr>
        <w:spacing w:after="0" w:line="240" w:lineRule="auto"/>
        <w:jc w:val="both"/>
        <w:rPr>
          <w:rFonts w:ascii="Arial" w:hAnsi="Arial" w:cs="Arial"/>
          <w:sz w:val="20"/>
          <w:szCs w:val="20"/>
        </w:rPr>
      </w:pPr>
    </w:p>
    <w:p w:rsidR="00C92F8C" w:rsidRPr="009A41C3" w:rsidRDefault="00A952BC" w:rsidP="009A41C3">
      <w:pPr>
        <w:pStyle w:val="Ttulo2"/>
        <w:framePr w:wrap="notBeside"/>
        <w:shd w:val="clear" w:color="auto" w:fill="F2F2F2" w:themeFill="background1" w:themeFillShade="F2"/>
        <w:jc w:val="both"/>
        <w:rPr>
          <w:rFonts w:cs="Arial"/>
          <w:szCs w:val="20"/>
        </w:rPr>
      </w:pPr>
      <w:r w:rsidRPr="009A41C3">
        <w:rPr>
          <w:rFonts w:cs="Arial"/>
          <w:szCs w:val="20"/>
        </w:rPr>
        <w:t xml:space="preserve">REFERENCIAS BIBLIOGRÁFICAS (15 a 60 </w:t>
      </w:r>
      <w:r w:rsidR="00C302EA" w:rsidRPr="009A41C3">
        <w:rPr>
          <w:rFonts w:cs="Arial"/>
          <w:szCs w:val="20"/>
        </w:rPr>
        <w:t>artículos de revistas</w:t>
      </w:r>
      <w:r w:rsidR="00A15D6F" w:rsidRPr="009A41C3">
        <w:rPr>
          <w:rFonts w:cs="Arial"/>
          <w:szCs w:val="20"/>
        </w:rPr>
        <w:t xml:space="preserve"> </w:t>
      </w:r>
      <w:r w:rsidRPr="009A41C3">
        <w:rPr>
          <w:rFonts w:cs="Arial"/>
          <w:szCs w:val="20"/>
        </w:rPr>
        <w:t xml:space="preserve">y más </w:t>
      </w:r>
      <w:r w:rsidR="00A15D6F" w:rsidRPr="009A41C3">
        <w:rPr>
          <w:rFonts w:cs="Arial"/>
          <w:szCs w:val="20"/>
        </w:rPr>
        <w:t xml:space="preserve">del 50 % </w:t>
      </w:r>
      <w:r w:rsidR="00C302EA" w:rsidRPr="009A41C3">
        <w:rPr>
          <w:rFonts w:cs="Arial"/>
          <w:szCs w:val="20"/>
        </w:rPr>
        <w:t xml:space="preserve">deben haberse </w:t>
      </w:r>
      <w:r w:rsidR="00A15D6F" w:rsidRPr="009A41C3">
        <w:rPr>
          <w:rFonts w:cs="Arial"/>
          <w:szCs w:val="20"/>
        </w:rPr>
        <w:t>publicad</w:t>
      </w:r>
      <w:r w:rsidR="00C302EA" w:rsidRPr="009A41C3">
        <w:rPr>
          <w:rFonts w:cs="Arial"/>
          <w:szCs w:val="20"/>
        </w:rPr>
        <w:t>o</w:t>
      </w:r>
      <w:r w:rsidRPr="009A41C3">
        <w:rPr>
          <w:rFonts w:cs="Arial"/>
          <w:szCs w:val="20"/>
        </w:rPr>
        <w:t xml:space="preserve"> en los últimos cinco años)</w:t>
      </w:r>
    </w:p>
    <w:p w:rsidR="001C4444" w:rsidRPr="009A41C3" w:rsidRDefault="001C4444" w:rsidP="009A41C3">
      <w:pPr>
        <w:spacing w:after="0" w:line="240" w:lineRule="auto"/>
        <w:jc w:val="both"/>
        <w:rPr>
          <w:rFonts w:ascii="Arial" w:hAnsi="Arial" w:cs="Arial"/>
          <w:sz w:val="20"/>
          <w:szCs w:val="20"/>
        </w:rPr>
      </w:pPr>
    </w:p>
    <w:p w:rsidR="009133E7" w:rsidRPr="009B1965" w:rsidRDefault="009133E7" w:rsidP="009A41C3">
      <w:pPr>
        <w:spacing w:afterLines="100" w:after="240" w:line="240" w:lineRule="auto"/>
        <w:jc w:val="both"/>
        <w:rPr>
          <w:rFonts w:ascii="Arial" w:hAnsi="Arial" w:cs="Arial"/>
          <w:sz w:val="20"/>
          <w:szCs w:val="20"/>
        </w:rPr>
      </w:pPr>
      <w:r w:rsidRPr="009B1965">
        <w:rPr>
          <w:rFonts w:ascii="Arial" w:hAnsi="Arial" w:cs="Arial"/>
          <w:sz w:val="20"/>
          <w:szCs w:val="20"/>
        </w:rPr>
        <w:t xml:space="preserve">1. Morales L, Kochen S. </w:t>
      </w:r>
      <w:r w:rsidRPr="009B1965">
        <w:rPr>
          <w:rFonts w:ascii="Arial" w:hAnsi="Arial" w:cs="Arial"/>
          <w:i/>
          <w:sz w:val="20"/>
          <w:szCs w:val="20"/>
        </w:rPr>
        <w:t>Epilepsias en el primer nivel de atención de salud</w:t>
      </w:r>
      <w:r w:rsidRPr="009B1965">
        <w:rPr>
          <w:rFonts w:ascii="Arial" w:hAnsi="Arial" w:cs="Arial"/>
          <w:sz w:val="20"/>
          <w:szCs w:val="20"/>
        </w:rPr>
        <w:t>. Ciudad autónoma de Buenos Ares: Argentina; 2017.</w:t>
      </w:r>
    </w:p>
    <w:p w:rsidR="009133E7" w:rsidRPr="009B1965" w:rsidRDefault="009133E7" w:rsidP="009A41C3">
      <w:pPr>
        <w:tabs>
          <w:tab w:val="left" w:pos="916"/>
          <w:tab w:val="left" w:pos="1832"/>
          <w:tab w:val="left" w:pos="2748"/>
          <w:tab w:val="left" w:pos="3664"/>
          <w:tab w:val="left" w:pos="4580"/>
          <w:tab w:val="left" w:pos="5496"/>
          <w:tab w:val="left" w:pos="6412"/>
          <w:tab w:val="left" w:pos="7328"/>
          <w:tab w:val="left" w:pos="7938"/>
          <w:tab w:val="left" w:pos="9160"/>
          <w:tab w:val="left" w:pos="10076"/>
          <w:tab w:val="left" w:pos="10992"/>
          <w:tab w:val="left" w:pos="11908"/>
          <w:tab w:val="left" w:pos="12824"/>
          <w:tab w:val="left" w:pos="13740"/>
          <w:tab w:val="left" w:pos="14656"/>
        </w:tabs>
        <w:spacing w:afterLines="100" w:after="240" w:line="240" w:lineRule="auto"/>
        <w:contextualSpacing/>
        <w:jc w:val="both"/>
        <w:rPr>
          <w:rFonts w:ascii="Arial" w:eastAsia="Times New Roman" w:hAnsi="Arial" w:cs="Arial"/>
          <w:sz w:val="20"/>
          <w:szCs w:val="20"/>
          <w:lang w:val="en-US" w:eastAsia="es-ES"/>
        </w:rPr>
      </w:pPr>
      <w:r w:rsidRPr="009B1965">
        <w:rPr>
          <w:rFonts w:ascii="Arial" w:hAnsi="Arial" w:cs="Arial"/>
          <w:sz w:val="20"/>
          <w:szCs w:val="20"/>
        </w:rPr>
        <w:t xml:space="preserve">2. </w:t>
      </w:r>
      <w:proofErr w:type="spellStart"/>
      <w:r w:rsidRPr="009B1965">
        <w:rPr>
          <w:rFonts w:ascii="Arial" w:hAnsi="Arial" w:cs="Arial"/>
          <w:sz w:val="20"/>
          <w:szCs w:val="20"/>
        </w:rPr>
        <w:t>Gedzelman</w:t>
      </w:r>
      <w:proofErr w:type="spellEnd"/>
      <w:r w:rsidRPr="009B1965">
        <w:rPr>
          <w:rFonts w:ascii="Arial" w:hAnsi="Arial" w:cs="Arial"/>
          <w:sz w:val="20"/>
          <w:szCs w:val="20"/>
        </w:rPr>
        <w:t xml:space="preserve">, E.R.; </w:t>
      </w:r>
      <w:proofErr w:type="spellStart"/>
      <w:r w:rsidRPr="009B1965">
        <w:rPr>
          <w:rFonts w:ascii="Arial" w:hAnsi="Arial" w:cs="Arial"/>
          <w:sz w:val="20"/>
          <w:szCs w:val="20"/>
        </w:rPr>
        <w:t>LaRoche</w:t>
      </w:r>
      <w:proofErr w:type="spellEnd"/>
      <w:r w:rsidRPr="009B1965">
        <w:rPr>
          <w:rFonts w:ascii="Arial" w:hAnsi="Arial" w:cs="Arial"/>
          <w:sz w:val="20"/>
          <w:szCs w:val="20"/>
        </w:rPr>
        <w:t>, S.M. Long-</w:t>
      </w:r>
      <w:proofErr w:type="spellStart"/>
      <w:r w:rsidRPr="009B1965">
        <w:rPr>
          <w:rFonts w:ascii="Arial" w:hAnsi="Arial" w:cs="Arial"/>
          <w:sz w:val="20"/>
          <w:szCs w:val="20"/>
        </w:rPr>
        <w:t>term</w:t>
      </w:r>
      <w:proofErr w:type="spellEnd"/>
      <w:r w:rsidRPr="009B1965">
        <w:rPr>
          <w:rFonts w:ascii="Arial" w:hAnsi="Arial" w:cs="Arial"/>
          <w:sz w:val="20"/>
          <w:szCs w:val="20"/>
        </w:rPr>
        <w:t xml:space="preserve"> video EEG </w:t>
      </w:r>
      <w:proofErr w:type="spellStart"/>
      <w:r w:rsidRPr="009B1965">
        <w:rPr>
          <w:rFonts w:ascii="Arial" w:hAnsi="Arial" w:cs="Arial"/>
          <w:sz w:val="20"/>
          <w:szCs w:val="20"/>
        </w:rPr>
        <w:t>monitoring</w:t>
      </w:r>
      <w:proofErr w:type="spellEnd"/>
      <w:r w:rsidRPr="009B1965">
        <w:rPr>
          <w:rFonts w:ascii="Arial" w:hAnsi="Arial" w:cs="Arial"/>
          <w:sz w:val="20"/>
          <w:szCs w:val="20"/>
        </w:rPr>
        <w:t xml:space="preserve"> </w:t>
      </w:r>
      <w:proofErr w:type="spellStart"/>
      <w:r w:rsidRPr="009B1965">
        <w:rPr>
          <w:rFonts w:ascii="Arial" w:hAnsi="Arial" w:cs="Arial"/>
          <w:sz w:val="20"/>
          <w:szCs w:val="20"/>
        </w:rPr>
        <w:t>for</w:t>
      </w:r>
      <w:proofErr w:type="spellEnd"/>
      <w:r w:rsidRPr="009B1965">
        <w:rPr>
          <w:rFonts w:ascii="Arial" w:hAnsi="Arial" w:cs="Arial"/>
          <w:sz w:val="20"/>
          <w:szCs w:val="20"/>
        </w:rPr>
        <w:t xml:space="preserve"> diagnosis of </w:t>
      </w:r>
      <w:proofErr w:type="spellStart"/>
      <w:r w:rsidRPr="009B1965">
        <w:rPr>
          <w:rFonts w:ascii="Arial" w:hAnsi="Arial" w:cs="Arial"/>
          <w:sz w:val="20"/>
          <w:szCs w:val="20"/>
        </w:rPr>
        <w:t>psychogenic</w:t>
      </w:r>
      <w:proofErr w:type="spellEnd"/>
      <w:r w:rsidRPr="009B1965">
        <w:rPr>
          <w:rFonts w:ascii="Arial" w:hAnsi="Arial" w:cs="Arial"/>
          <w:sz w:val="20"/>
          <w:szCs w:val="20"/>
        </w:rPr>
        <w:t xml:space="preserve"> </w:t>
      </w:r>
      <w:proofErr w:type="spellStart"/>
      <w:r w:rsidRPr="009B1965">
        <w:rPr>
          <w:rFonts w:ascii="Arial" w:hAnsi="Arial" w:cs="Arial"/>
          <w:sz w:val="20"/>
          <w:szCs w:val="20"/>
        </w:rPr>
        <w:t>nonepileptic</w:t>
      </w:r>
      <w:proofErr w:type="spellEnd"/>
      <w:r w:rsidRPr="009B1965">
        <w:rPr>
          <w:rFonts w:ascii="Arial" w:hAnsi="Arial" w:cs="Arial"/>
          <w:sz w:val="20"/>
          <w:szCs w:val="20"/>
        </w:rPr>
        <w:t xml:space="preserve"> seizures. </w:t>
      </w:r>
      <w:r w:rsidRPr="009B1965">
        <w:rPr>
          <w:rFonts w:ascii="Arial" w:hAnsi="Arial" w:cs="Arial"/>
          <w:i/>
          <w:sz w:val="20"/>
          <w:szCs w:val="20"/>
          <w:lang w:val="en-US"/>
        </w:rPr>
        <w:t>Neuropsychiatric Disease and Treatment 2014</w:t>
      </w:r>
      <w:r w:rsidRPr="009B1965">
        <w:rPr>
          <w:rFonts w:ascii="Arial" w:hAnsi="Arial" w:cs="Arial"/>
          <w:sz w:val="20"/>
          <w:szCs w:val="20"/>
          <w:lang w:val="en-US"/>
        </w:rPr>
        <w:t>, 10:1979-1986.</w:t>
      </w:r>
    </w:p>
    <w:p w:rsidR="009133E7" w:rsidRPr="009B1965" w:rsidRDefault="009133E7" w:rsidP="009A41C3">
      <w:pPr>
        <w:tabs>
          <w:tab w:val="left" w:pos="916"/>
          <w:tab w:val="left" w:pos="1832"/>
          <w:tab w:val="left" w:pos="2748"/>
          <w:tab w:val="left" w:pos="3664"/>
          <w:tab w:val="left" w:pos="4580"/>
          <w:tab w:val="left" w:pos="5496"/>
          <w:tab w:val="left" w:pos="6412"/>
          <w:tab w:val="left" w:pos="7328"/>
          <w:tab w:val="left" w:pos="7938"/>
          <w:tab w:val="left" w:pos="9160"/>
          <w:tab w:val="left" w:pos="10076"/>
          <w:tab w:val="left" w:pos="10992"/>
          <w:tab w:val="left" w:pos="11908"/>
          <w:tab w:val="left" w:pos="12824"/>
          <w:tab w:val="left" w:pos="13740"/>
          <w:tab w:val="left" w:pos="14656"/>
        </w:tabs>
        <w:spacing w:afterLines="100" w:after="240" w:line="240" w:lineRule="auto"/>
        <w:contextualSpacing/>
        <w:jc w:val="both"/>
        <w:rPr>
          <w:rFonts w:ascii="Arial" w:eastAsia="Times New Roman" w:hAnsi="Arial" w:cs="Arial"/>
          <w:sz w:val="20"/>
          <w:szCs w:val="20"/>
          <w:lang w:val="en-US" w:eastAsia="es-ES"/>
        </w:rPr>
      </w:pPr>
    </w:p>
    <w:p w:rsidR="009133E7" w:rsidRPr="009B1965" w:rsidRDefault="009133E7" w:rsidP="009A41C3">
      <w:pPr>
        <w:spacing w:afterLines="100" w:after="240" w:line="240" w:lineRule="auto"/>
        <w:jc w:val="both"/>
        <w:rPr>
          <w:rFonts w:ascii="Arial" w:hAnsi="Arial" w:cs="Arial"/>
          <w:sz w:val="20"/>
          <w:szCs w:val="20"/>
        </w:rPr>
      </w:pPr>
      <w:r w:rsidRPr="009B1965">
        <w:rPr>
          <w:rFonts w:ascii="Arial" w:hAnsi="Arial" w:cs="Arial"/>
          <w:sz w:val="20"/>
          <w:szCs w:val="20"/>
          <w:lang w:val="en-US"/>
        </w:rPr>
        <w:t xml:space="preserve">3. </w:t>
      </w:r>
      <w:proofErr w:type="spellStart"/>
      <w:r w:rsidRPr="009B1965">
        <w:rPr>
          <w:rFonts w:ascii="Arial" w:hAnsi="Arial" w:cs="Arial"/>
          <w:sz w:val="20"/>
          <w:szCs w:val="20"/>
          <w:lang w:val="en-US"/>
        </w:rPr>
        <w:t>Milán-Tomás</w:t>
      </w:r>
      <w:proofErr w:type="spellEnd"/>
      <w:r w:rsidRPr="009B1965">
        <w:rPr>
          <w:rFonts w:ascii="Arial" w:hAnsi="Arial" w:cs="Arial"/>
          <w:sz w:val="20"/>
          <w:szCs w:val="20"/>
          <w:lang w:val="en-US"/>
        </w:rPr>
        <w:t xml:space="preserve"> Á, </w:t>
      </w:r>
      <w:proofErr w:type="spellStart"/>
      <w:r w:rsidRPr="009B1965">
        <w:rPr>
          <w:rFonts w:ascii="Arial" w:hAnsi="Arial" w:cs="Arial"/>
          <w:sz w:val="20"/>
          <w:szCs w:val="20"/>
          <w:lang w:val="en-US"/>
        </w:rPr>
        <w:t>Persyko</w:t>
      </w:r>
      <w:proofErr w:type="spellEnd"/>
      <w:r w:rsidRPr="009B1965">
        <w:rPr>
          <w:rFonts w:ascii="Arial" w:hAnsi="Arial" w:cs="Arial"/>
          <w:sz w:val="20"/>
          <w:szCs w:val="20"/>
          <w:lang w:val="en-US"/>
        </w:rPr>
        <w:t xml:space="preserve"> M, Del Campo M, Shapiro CM, </w:t>
      </w:r>
      <w:proofErr w:type="spellStart"/>
      <w:r w:rsidRPr="009B1965">
        <w:rPr>
          <w:rFonts w:ascii="Arial" w:hAnsi="Arial" w:cs="Arial"/>
          <w:sz w:val="20"/>
          <w:szCs w:val="20"/>
          <w:lang w:val="en-US"/>
        </w:rPr>
        <w:t>Farcnik</w:t>
      </w:r>
      <w:proofErr w:type="spellEnd"/>
      <w:r w:rsidRPr="009B1965">
        <w:rPr>
          <w:rFonts w:ascii="Arial" w:hAnsi="Arial" w:cs="Arial"/>
          <w:sz w:val="20"/>
          <w:szCs w:val="20"/>
          <w:lang w:val="en-US"/>
        </w:rPr>
        <w:t xml:space="preserve"> K. An Overview of Psychogenic Non-Epileptic Seizures: Etiology, Diagnosis and Management. </w:t>
      </w:r>
      <w:r w:rsidRPr="009B1965">
        <w:rPr>
          <w:rFonts w:ascii="Arial" w:hAnsi="Arial" w:cs="Arial"/>
          <w:i/>
          <w:sz w:val="20"/>
          <w:szCs w:val="20"/>
        </w:rPr>
        <w:t xml:space="preserve">Can J </w:t>
      </w:r>
      <w:proofErr w:type="spellStart"/>
      <w:r w:rsidRPr="009B1965">
        <w:rPr>
          <w:rFonts w:ascii="Arial" w:hAnsi="Arial" w:cs="Arial"/>
          <w:i/>
          <w:sz w:val="20"/>
          <w:szCs w:val="20"/>
        </w:rPr>
        <w:t>Neurol</w:t>
      </w:r>
      <w:proofErr w:type="spellEnd"/>
      <w:r w:rsidRPr="009B1965">
        <w:rPr>
          <w:rFonts w:ascii="Arial" w:hAnsi="Arial" w:cs="Arial"/>
          <w:i/>
          <w:sz w:val="20"/>
          <w:szCs w:val="20"/>
        </w:rPr>
        <w:t xml:space="preserve"> </w:t>
      </w:r>
      <w:proofErr w:type="spellStart"/>
      <w:r w:rsidRPr="009B1965">
        <w:rPr>
          <w:rFonts w:ascii="Arial" w:hAnsi="Arial" w:cs="Arial"/>
          <w:i/>
          <w:sz w:val="20"/>
          <w:szCs w:val="20"/>
        </w:rPr>
        <w:t>Sci</w:t>
      </w:r>
      <w:proofErr w:type="spellEnd"/>
      <w:r w:rsidRPr="009B1965">
        <w:rPr>
          <w:rFonts w:ascii="Arial" w:hAnsi="Arial" w:cs="Arial"/>
          <w:i/>
          <w:sz w:val="20"/>
          <w:szCs w:val="20"/>
        </w:rPr>
        <w:t xml:space="preserve"> 2018;</w:t>
      </w:r>
      <w:r w:rsidRPr="009B1965">
        <w:rPr>
          <w:rFonts w:ascii="Arial" w:hAnsi="Arial" w:cs="Arial"/>
          <w:sz w:val="20"/>
          <w:szCs w:val="20"/>
        </w:rPr>
        <w:t xml:space="preserve"> Mar; 45(2):130-136. </w:t>
      </w:r>
      <w:proofErr w:type="spellStart"/>
      <w:proofErr w:type="gramStart"/>
      <w:r w:rsidRPr="009B1965">
        <w:rPr>
          <w:rFonts w:ascii="Arial" w:hAnsi="Arial" w:cs="Arial"/>
          <w:sz w:val="20"/>
          <w:szCs w:val="20"/>
        </w:rPr>
        <w:t>doi</w:t>
      </w:r>
      <w:proofErr w:type="spellEnd"/>
      <w:proofErr w:type="gramEnd"/>
      <w:r w:rsidRPr="009B1965">
        <w:rPr>
          <w:rFonts w:ascii="Arial" w:hAnsi="Arial" w:cs="Arial"/>
          <w:sz w:val="20"/>
          <w:szCs w:val="20"/>
        </w:rPr>
        <w:t>: 10.1017/cjn.2017.283.</w:t>
      </w:r>
    </w:p>
    <w:p w:rsidR="009133E7" w:rsidRPr="009B1965" w:rsidRDefault="009133E7" w:rsidP="009A41C3">
      <w:pPr>
        <w:adjustRightInd w:val="0"/>
        <w:snapToGrid w:val="0"/>
        <w:spacing w:line="260" w:lineRule="atLeast"/>
        <w:jc w:val="both"/>
        <w:outlineLvl w:val="0"/>
        <w:rPr>
          <w:rFonts w:ascii="Arial" w:hAnsi="Arial" w:cs="Arial"/>
          <w:snapToGrid w:val="0"/>
          <w:sz w:val="20"/>
          <w:szCs w:val="20"/>
          <w:lang w:val="en-US" w:bidi="en-US"/>
        </w:rPr>
      </w:pPr>
      <w:r w:rsidRPr="009B1965">
        <w:rPr>
          <w:rFonts w:ascii="Arial" w:hAnsi="Arial" w:cs="Arial"/>
          <w:snapToGrid w:val="0"/>
          <w:sz w:val="20"/>
          <w:szCs w:val="20"/>
          <w:lang w:bidi="en-US"/>
        </w:rPr>
        <w:t>4. Méndez-Ruiz, J.M.; Martínez-</w:t>
      </w:r>
      <w:proofErr w:type="spellStart"/>
      <w:r w:rsidRPr="009B1965">
        <w:rPr>
          <w:rFonts w:ascii="Arial" w:hAnsi="Arial" w:cs="Arial"/>
          <w:snapToGrid w:val="0"/>
          <w:sz w:val="20"/>
          <w:szCs w:val="20"/>
          <w:lang w:bidi="en-US"/>
        </w:rPr>
        <w:t>Taboas</w:t>
      </w:r>
      <w:proofErr w:type="spellEnd"/>
      <w:r w:rsidRPr="009B1965">
        <w:rPr>
          <w:rFonts w:ascii="Arial" w:hAnsi="Arial" w:cs="Arial"/>
          <w:snapToGrid w:val="0"/>
          <w:sz w:val="20"/>
          <w:szCs w:val="20"/>
          <w:lang w:bidi="en-US"/>
        </w:rPr>
        <w:t xml:space="preserve">, A.; Valdez-Pimentel, Y.M.; Torres-Narváez, M.; Colón-Laboy, M.; Jiménez-Colón, G.G.; et al. </w:t>
      </w:r>
      <w:r w:rsidRPr="009B1965">
        <w:rPr>
          <w:rFonts w:ascii="Arial" w:hAnsi="Arial" w:cs="Arial"/>
          <w:snapToGrid w:val="0"/>
          <w:sz w:val="20"/>
          <w:szCs w:val="20"/>
          <w:lang w:val="en-US" w:bidi="en-US"/>
        </w:rPr>
        <w:t xml:space="preserve">Clinical Profile of Patients with Psychogenic Non-epileptic Seizures in Puerto Rico. </w:t>
      </w:r>
      <w:r w:rsidRPr="009B1965">
        <w:rPr>
          <w:rFonts w:ascii="Arial" w:hAnsi="Arial" w:cs="Arial"/>
          <w:i/>
          <w:snapToGrid w:val="0"/>
          <w:sz w:val="20"/>
          <w:szCs w:val="20"/>
          <w:lang w:val="en-US" w:bidi="en-US"/>
        </w:rPr>
        <w:t xml:space="preserve">P R </w:t>
      </w:r>
      <w:proofErr w:type="spellStart"/>
      <w:r w:rsidRPr="009B1965">
        <w:rPr>
          <w:rFonts w:ascii="Arial" w:hAnsi="Arial" w:cs="Arial"/>
          <w:i/>
          <w:snapToGrid w:val="0"/>
          <w:sz w:val="20"/>
          <w:szCs w:val="20"/>
          <w:lang w:val="en-US" w:bidi="en-US"/>
        </w:rPr>
        <w:t>HealthSci</w:t>
      </w:r>
      <w:proofErr w:type="spellEnd"/>
      <w:r w:rsidRPr="009B1965">
        <w:rPr>
          <w:rFonts w:ascii="Arial" w:hAnsi="Arial" w:cs="Arial"/>
          <w:i/>
          <w:snapToGrid w:val="0"/>
          <w:sz w:val="20"/>
          <w:szCs w:val="20"/>
          <w:lang w:val="en-US" w:bidi="en-US"/>
        </w:rPr>
        <w:t xml:space="preserve"> J</w:t>
      </w:r>
      <w:r w:rsidRPr="009B1965">
        <w:rPr>
          <w:rFonts w:ascii="Arial" w:hAnsi="Arial" w:cs="Arial"/>
          <w:snapToGrid w:val="0"/>
          <w:sz w:val="20"/>
          <w:szCs w:val="20"/>
          <w:lang w:val="en-US" w:bidi="en-US"/>
        </w:rPr>
        <w:t xml:space="preserve"> 2017, 36(4):212-7.  </w:t>
      </w:r>
    </w:p>
    <w:p w:rsidR="009133E7" w:rsidRPr="009B1965" w:rsidRDefault="009133E7" w:rsidP="009A41C3">
      <w:pPr>
        <w:spacing w:afterLines="100" w:after="240" w:line="240" w:lineRule="auto"/>
        <w:jc w:val="both"/>
        <w:rPr>
          <w:rFonts w:ascii="Arial" w:hAnsi="Arial" w:cs="Arial"/>
          <w:sz w:val="20"/>
          <w:szCs w:val="20"/>
          <w:lang w:val="en-US"/>
        </w:rPr>
      </w:pPr>
      <w:r w:rsidRPr="009B1965">
        <w:rPr>
          <w:rFonts w:ascii="Arial" w:hAnsi="Arial" w:cs="Arial"/>
          <w:sz w:val="20"/>
          <w:szCs w:val="20"/>
          <w:lang w:val="en-US"/>
        </w:rPr>
        <w:t xml:space="preserve">5. Pick S, </w:t>
      </w:r>
      <w:proofErr w:type="spellStart"/>
      <w:r w:rsidRPr="009B1965">
        <w:rPr>
          <w:rFonts w:ascii="Arial" w:hAnsi="Arial" w:cs="Arial"/>
          <w:sz w:val="20"/>
          <w:szCs w:val="20"/>
          <w:lang w:val="en-US"/>
        </w:rPr>
        <w:t>Mellers</w:t>
      </w:r>
      <w:proofErr w:type="spellEnd"/>
      <w:r w:rsidRPr="009B1965">
        <w:rPr>
          <w:rFonts w:ascii="Arial" w:hAnsi="Arial" w:cs="Arial"/>
          <w:sz w:val="20"/>
          <w:szCs w:val="20"/>
          <w:lang w:val="en-US"/>
        </w:rPr>
        <w:t xml:space="preserve"> JDC, Goldstein LH.  Autonomic and subjective </w:t>
      </w:r>
      <w:proofErr w:type="spellStart"/>
      <w:r w:rsidRPr="009B1965">
        <w:rPr>
          <w:rFonts w:ascii="Arial" w:hAnsi="Arial" w:cs="Arial"/>
          <w:sz w:val="20"/>
          <w:szCs w:val="20"/>
          <w:lang w:val="en-US"/>
        </w:rPr>
        <w:t>responsivity</w:t>
      </w:r>
      <w:proofErr w:type="spellEnd"/>
      <w:r w:rsidRPr="009B1965">
        <w:rPr>
          <w:rFonts w:ascii="Arial" w:hAnsi="Arial" w:cs="Arial"/>
          <w:sz w:val="20"/>
          <w:szCs w:val="20"/>
          <w:lang w:val="en-US"/>
        </w:rPr>
        <w:t xml:space="preserve"> to emotional images in people with dissociative seizures. </w:t>
      </w:r>
      <w:proofErr w:type="gramStart"/>
      <w:r w:rsidRPr="009B1965">
        <w:rPr>
          <w:rFonts w:ascii="Arial" w:hAnsi="Arial" w:cs="Arial"/>
          <w:i/>
          <w:sz w:val="20"/>
          <w:szCs w:val="20"/>
          <w:lang w:val="en-US"/>
        </w:rPr>
        <w:t xml:space="preserve">J </w:t>
      </w:r>
      <w:proofErr w:type="spellStart"/>
      <w:r w:rsidRPr="009B1965">
        <w:rPr>
          <w:rFonts w:ascii="Arial" w:hAnsi="Arial" w:cs="Arial"/>
          <w:i/>
          <w:sz w:val="20"/>
          <w:szCs w:val="20"/>
          <w:lang w:val="en-US"/>
        </w:rPr>
        <w:t>Neuropsychol</w:t>
      </w:r>
      <w:proofErr w:type="spellEnd"/>
      <w:r w:rsidRPr="009B1965">
        <w:rPr>
          <w:rFonts w:ascii="Arial" w:hAnsi="Arial" w:cs="Arial"/>
          <w:i/>
          <w:sz w:val="20"/>
          <w:szCs w:val="20"/>
          <w:lang w:val="en-US"/>
        </w:rPr>
        <w:t xml:space="preserve"> 2017</w:t>
      </w:r>
      <w:r w:rsidRPr="009B1965">
        <w:rPr>
          <w:rFonts w:ascii="Arial" w:hAnsi="Arial" w:cs="Arial"/>
          <w:sz w:val="20"/>
          <w:szCs w:val="20"/>
          <w:lang w:val="en-US"/>
        </w:rPr>
        <w:t>.</w:t>
      </w:r>
      <w:proofErr w:type="gramEnd"/>
      <w:r w:rsidRPr="009B1965">
        <w:rPr>
          <w:rFonts w:ascii="Arial" w:hAnsi="Arial" w:cs="Arial"/>
          <w:sz w:val="20"/>
          <w:szCs w:val="20"/>
          <w:lang w:val="en-US"/>
        </w:rPr>
        <w:t xml:space="preserve"> Dec 28. </w:t>
      </w:r>
      <w:proofErr w:type="spellStart"/>
      <w:proofErr w:type="gramStart"/>
      <w:r w:rsidRPr="009B1965">
        <w:rPr>
          <w:rFonts w:ascii="Arial" w:hAnsi="Arial" w:cs="Arial"/>
          <w:sz w:val="20"/>
          <w:szCs w:val="20"/>
          <w:lang w:val="en-US"/>
        </w:rPr>
        <w:t>doi</w:t>
      </w:r>
      <w:proofErr w:type="spellEnd"/>
      <w:proofErr w:type="gramEnd"/>
      <w:r w:rsidRPr="009B1965">
        <w:rPr>
          <w:rFonts w:ascii="Arial" w:hAnsi="Arial" w:cs="Arial"/>
          <w:sz w:val="20"/>
          <w:szCs w:val="20"/>
          <w:lang w:val="en-US"/>
        </w:rPr>
        <w:t xml:space="preserve">: 10.1111/jnp.12144. </w:t>
      </w:r>
    </w:p>
    <w:p w:rsidR="009133E7" w:rsidRPr="009B1965" w:rsidRDefault="009133E7" w:rsidP="009A41C3">
      <w:pPr>
        <w:adjustRightInd w:val="0"/>
        <w:snapToGrid w:val="0"/>
        <w:spacing w:line="260" w:lineRule="atLeast"/>
        <w:jc w:val="both"/>
        <w:outlineLvl w:val="0"/>
        <w:rPr>
          <w:rFonts w:ascii="Arial" w:hAnsi="Arial" w:cs="Arial"/>
          <w:snapToGrid w:val="0"/>
          <w:sz w:val="20"/>
          <w:szCs w:val="20"/>
          <w:lang w:val="en-US" w:bidi="en-US"/>
        </w:rPr>
      </w:pPr>
      <w:r w:rsidRPr="009B1965">
        <w:rPr>
          <w:rFonts w:ascii="Arial" w:hAnsi="Arial" w:cs="Arial"/>
          <w:snapToGrid w:val="0"/>
          <w:sz w:val="20"/>
          <w:szCs w:val="20"/>
          <w:lang w:val="en-US" w:bidi="en-US"/>
        </w:rPr>
        <w:t xml:space="preserve">6. </w:t>
      </w:r>
      <w:proofErr w:type="spellStart"/>
      <w:r w:rsidRPr="009B1965">
        <w:rPr>
          <w:rFonts w:ascii="Arial" w:hAnsi="Arial" w:cs="Arial"/>
          <w:snapToGrid w:val="0"/>
          <w:sz w:val="20"/>
          <w:szCs w:val="20"/>
          <w:lang w:val="en-US" w:bidi="en-US"/>
        </w:rPr>
        <w:t>Plioplys</w:t>
      </w:r>
      <w:proofErr w:type="spellEnd"/>
      <w:r w:rsidRPr="009B1965">
        <w:rPr>
          <w:rFonts w:ascii="Arial" w:hAnsi="Arial" w:cs="Arial"/>
          <w:snapToGrid w:val="0"/>
          <w:sz w:val="20"/>
          <w:szCs w:val="20"/>
          <w:lang w:val="en-US" w:bidi="en-US"/>
        </w:rPr>
        <w:t xml:space="preserve"> S, Doss J, </w:t>
      </w:r>
      <w:proofErr w:type="spellStart"/>
      <w:r w:rsidRPr="009B1965">
        <w:rPr>
          <w:rFonts w:ascii="Arial" w:hAnsi="Arial" w:cs="Arial"/>
          <w:snapToGrid w:val="0"/>
          <w:sz w:val="20"/>
          <w:szCs w:val="20"/>
          <w:lang w:val="en-US" w:bidi="en-US"/>
        </w:rPr>
        <w:t>Siddarth</w:t>
      </w:r>
      <w:proofErr w:type="spellEnd"/>
      <w:r w:rsidRPr="009B1965">
        <w:rPr>
          <w:rFonts w:ascii="Arial" w:hAnsi="Arial" w:cs="Arial"/>
          <w:snapToGrid w:val="0"/>
          <w:sz w:val="20"/>
          <w:szCs w:val="20"/>
          <w:lang w:val="en-US" w:bidi="en-US"/>
        </w:rPr>
        <w:t xml:space="preserve"> P, </w:t>
      </w:r>
      <w:proofErr w:type="spellStart"/>
      <w:r w:rsidRPr="009B1965">
        <w:rPr>
          <w:rFonts w:ascii="Arial" w:hAnsi="Arial" w:cs="Arial"/>
          <w:snapToGrid w:val="0"/>
          <w:sz w:val="20"/>
          <w:szCs w:val="20"/>
          <w:lang w:val="en-US" w:bidi="en-US"/>
        </w:rPr>
        <w:t>Bursch</w:t>
      </w:r>
      <w:proofErr w:type="spellEnd"/>
      <w:r w:rsidRPr="009B1965">
        <w:rPr>
          <w:rFonts w:ascii="Arial" w:hAnsi="Arial" w:cs="Arial"/>
          <w:snapToGrid w:val="0"/>
          <w:sz w:val="20"/>
          <w:szCs w:val="20"/>
          <w:lang w:val="en-US" w:bidi="en-US"/>
        </w:rPr>
        <w:t xml:space="preserve"> B, Falcone T, </w:t>
      </w:r>
      <w:proofErr w:type="spellStart"/>
      <w:r w:rsidRPr="009B1965">
        <w:rPr>
          <w:rFonts w:ascii="Arial" w:hAnsi="Arial" w:cs="Arial"/>
          <w:snapToGrid w:val="0"/>
          <w:sz w:val="20"/>
          <w:szCs w:val="20"/>
          <w:lang w:val="en-US" w:bidi="en-US"/>
        </w:rPr>
        <w:t>Forgey</w:t>
      </w:r>
      <w:proofErr w:type="spellEnd"/>
      <w:r w:rsidRPr="009B1965">
        <w:rPr>
          <w:rFonts w:ascii="Arial" w:hAnsi="Arial" w:cs="Arial"/>
          <w:snapToGrid w:val="0"/>
          <w:sz w:val="20"/>
          <w:szCs w:val="20"/>
          <w:lang w:val="en-US" w:bidi="en-US"/>
        </w:rPr>
        <w:t xml:space="preserve"> M, </w:t>
      </w:r>
      <w:proofErr w:type="spellStart"/>
      <w:r w:rsidRPr="009B1965">
        <w:rPr>
          <w:rFonts w:ascii="Arial" w:hAnsi="Arial" w:cs="Arial"/>
          <w:snapToGrid w:val="0"/>
          <w:sz w:val="20"/>
          <w:szCs w:val="20"/>
          <w:lang w:val="en-US" w:bidi="en-US"/>
        </w:rPr>
        <w:t>Hinman</w:t>
      </w:r>
      <w:proofErr w:type="spellEnd"/>
      <w:r w:rsidRPr="009B1965">
        <w:rPr>
          <w:rFonts w:ascii="Arial" w:hAnsi="Arial" w:cs="Arial"/>
          <w:snapToGrid w:val="0"/>
          <w:sz w:val="20"/>
          <w:szCs w:val="20"/>
          <w:lang w:val="en-US" w:bidi="en-US"/>
        </w:rPr>
        <w:t xml:space="preserve"> K, et, al. Risk factors for comorbid psychopathology in youth with psychogenic </w:t>
      </w:r>
      <w:proofErr w:type="spellStart"/>
      <w:r w:rsidRPr="009B1965">
        <w:rPr>
          <w:rFonts w:ascii="Arial" w:hAnsi="Arial" w:cs="Arial"/>
          <w:snapToGrid w:val="0"/>
          <w:sz w:val="20"/>
          <w:szCs w:val="20"/>
          <w:lang w:val="en-US" w:bidi="en-US"/>
        </w:rPr>
        <w:t>nonepileptic</w:t>
      </w:r>
      <w:proofErr w:type="spellEnd"/>
      <w:r w:rsidRPr="009B1965">
        <w:rPr>
          <w:rFonts w:ascii="Arial" w:hAnsi="Arial" w:cs="Arial"/>
          <w:snapToGrid w:val="0"/>
          <w:sz w:val="20"/>
          <w:szCs w:val="20"/>
          <w:lang w:val="en-US" w:bidi="en-US"/>
        </w:rPr>
        <w:t xml:space="preserve"> seizures. </w:t>
      </w:r>
      <w:r w:rsidRPr="009B1965">
        <w:rPr>
          <w:rFonts w:ascii="Arial" w:hAnsi="Arial" w:cs="Arial"/>
          <w:i/>
          <w:snapToGrid w:val="0"/>
          <w:sz w:val="20"/>
          <w:szCs w:val="20"/>
          <w:lang w:val="en-US" w:bidi="en-US"/>
        </w:rPr>
        <w:t>Seizure</w:t>
      </w:r>
      <w:r w:rsidRPr="009B1965">
        <w:rPr>
          <w:rFonts w:ascii="Arial" w:hAnsi="Arial" w:cs="Arial"/>
          <w:snapToGrid w:val="0"/>
          <w:sz w:val="20"/>
          <w:szCs w:val="20"/>
          <w:lang w:val="en-US" w:bidi="en-US"/>
        </w:rPr>
        <w:t>2016</w:t>
      </w:r>
      <w:proofErr w:type="gramStart"/>
      <w:r w:rsidRPr="009B1965">
        <w:rPr>
          <w:rFonts w:ascii="Arial" w:hAnsi="Arial" w:cs="Arial"/>
          <w:snapToGrid w:val="0"/>
          <w:sz w:val="20"/>
          <w:szCs w:val="20"/>
          <w:lang w:val="en-US" w:bidi="en-US"/>
        </w:rPr>
        <w:t>;May</w:t>
      </w:r>
      <w:proofErr w:type="gramEnd"/>
      <w:r w:rsidRPr="009B1965">
        <w:rPr>
          <w:rFonts w:ascii="Arial" w:hAnsi="Arial" w:cs="Arial"/>
          <w:snapToGrid w:val="0"/>
          <w:sz w:val="20"/>
          <w:szCs w:val="20"/>
          <w:lang w:val="en-US" w:bidi="en-US"/>
        </w:rPr>
        <w:t xml:space="preserve">;38:32-7. </w:t>
      </w:r>
      <w:proofErr w:type="spellStart"/>
      <w:proofErr w:type="gramStart"/>
      <w:r w:rsidRPr="009B1965">
        <w:rPr>
          <w:rFonts w:ascii="Arial" w:hAnsi="Arial" w:cs="Arial"/>
          <w:snapToGrid w:val="0"/>
          <w:sz w:val="20"/>
          <w:szCs w:val="20"/>
          <w:lang w:val="en-US" w:bidi="en-US"/>
        </w:rPr>
        <w:t>doi</w:t>
      </w:r>
      <w:proofErr w:type="spellEnd"/>
      <w:proofErr w:type="gramEnd"/>
      <w:r w:rsidRPr="009B1965">
        <w:rPr>
          <w:rFonts w:ascii="Arial" w:hAnsi="Arial" w:cs="Arial"/>
          <w:snapToGrid w:val="0"/>
          <w:sz w:val="20"/>
          <w:szCs w:val="20"/>
          <w:lang w:val="en-US" w:bidi="en-US"/>
        </w:rPr>
        <w:t>: 10.1016/j.seizure.2016.03.012.</w:t>
      </w:r>
    </w:p>
    <w:p w:rsidR="009133E7" w:rsidRPr="009B1965" w:rsidRDefault="009133E7" w:rsidP="009A41C3">
      <w:pPr>
        <w:adjustRightInd w:val="0"/>
        <w:snapToGrid w:val="0"/>
        <w:spacing w:line="260" w:lineRule="atLeast"/>
        <w:jc w:val="both"/>
        <w:outlineLvl w:val="0"/>
        <w:rPr>
          <w:rFonts w:ascii="Arial" w:hAnsi="Arial" w:cs="Arial"/>
          <w:snapToGrid w:val="0"/>
          <w:sz w:val="20"/>
          <w:szCs w:val="20"/>
          <w:lang w:val="en-US" w:bidi="en-US"/>
        </w:rPr>
      </w:pPr>
      <w:r w:rsidRPr="009B1965">
        <w:rPr>
          <w:rFonts w:ascii="Arial" w:hAnsi="Arial" w:cs="Arial"/>
          <w:snapToGrid w:val="0"/>
          <w:sz w:val="20"/>
          <w:szCs w:val="20"/>
          <w:lang w:val="en-US" w:bidi="en-US"/>
        </w:rPr>
        <w:t xml:space="preserve">7. Anderson DG, </w:t>
      </w:r>
      <w:proofErr w:type="spellStart"/>
      <w:r w:rsidRPr="009B1965">
        <w:rPr>
          <w:rFonts w:ascii="Arial" w:hAnsi="Arial" w:cs="Arial"/>
          <w:snapToGrid w:val="0"/>
          <w:sz w:val="20"/>
          <w:szCs w:val="20"/>
          <w:lang w:val="en-US" w:bidi="en-US"/>
        </w:rPr>
        <w:t>Damianova</w:t>
      </w:r>
      <w:proofErr w:type="spellEnd"/>
      <w:r w:rsidRPr="009B1965">
        <w:rPr>
          <w:rFonts w:ascii="Arial" w:hAnsi="Arial" w:cs="Arial"/>
          <w:snapToGrid w:val="0"/>
          <w:sz w:val="20"/>
          <w:szCs w:val="20"/>
          <w:lang w:val="en-US" w:bidi="en-US"/>
        </w:rPr>
        <w:t xml:space="preserve"> M, </w:t>
      </w:r>
      <w:proofErr w:type="spellStart"/>
      <w:r w:rsidRPr="009B1965">
        <w:rPr>
          <w:rFonts w:ascii="Arial" w:hAnsi="Arial" w:cs="Arial"/>
          <w:snapToGrid w:val="0"/>
          <w:sz w:val="20"/>
          <w:szCs w:val="20"/>
          <w:lang w:val="en-US" w:bidi="en-US"/>
        </w:rPr>
        <w:t>Hanekom</w:t>
      </w:r>
      <w:proofErr w:type="spellEnd"/>
      <w:r w:rsidRPr="009B1965">
        <w:rPr>
          <w:rFonts w:ascii="Arial" w:hAnsi="Arial" w:cs="Arial"/>
          <w:snapToGrid w:val="0"/>
          <w:sz w:val="20"/>
          <w:szCs w:val="20"/>
          <w:lang w:val="en-US" w:bidi="en-US"/>
        </w:rPr>
        <w:t xml:space="preserve"> S, Lucas M. A comparative retrospective exploration of the profiles of patients in South Africa diagnosed with epileptic and psychogenic non-epileptic seizures. </w:t>
      </w:r>
      <w:proofErr w:type="spellStart"/>
      <w:r w:rsidRPr="009B1965">
        <w:rPr>
          <w:rFonts w:ascii="Arial" w:hAnsi="Arial" w:cs="Arial"/>
          <w:i/>
          <w:snapToGrid w:val="0"/>
          <w:sz w:val="20"/>
          <w:szCs w:val="20"/>
          <w:lang w:val="en-US" w:bidi="en-US"/>
        </w:rPr>
        <w:t>EpilepsyBehav</w:t>
      </w:r>
      <w:proofErr w:type="spellEnd"/>
      <w:r w:rsidRPr="009B1965">
        <w:rPr>
          <w:rFonts w:ascii="Arial" w:hAnsi="Arial" w:cs="Arial"/>
          <w:snapToGrid w:val="0"/>
          <w:sz w:val="20"/>
          <w:szCs w:val="20"/>
          <w:lang w:val="en-US" w:bidi="en-US"/>
        </w:rPr>
        <w:t xml:space="preserve"> 2017</w:t>
      </w:r>
      <w:proofErr w:type="gramStart"/>
      <w:r w:rsidRPr="009B1965">
        <w:rPr>
          <w:rFonts w:ascii="Arial" w:hAnsi="Arial" w:cs="Arial"/>
          <w:snapToGrid w:val="0"/>
          <w:sz w:val="20"/>
          <w:szCs w:val="20"/>
          <w:lang w:val="en-US" w:bidi="en-US"/>
        </w:rPr>
        <w:t>;Apr</w:t>
      </w:r>
      <w:proofErr w:type="gramEnd"/>
      <w:r w:rsidRPr="009B1965">
        <w:rPr>
          <w:rFonts w:ascii="Arial" w:hAnsi="Arial" w:cs="Arial"/>
          <w:snapToGrid w:val="0"/>
          <w:sz w:val="20"/>
          <w:szCs w:val="20"/>
          <w:lang w:val="en-US" w:bidi="en-US"/>
        </w:rPr>
        <w:t xml:space="preserve">;69:37-43. </w:t>
      </w:r>
      <w:proofErr w:type="spellStart"/>
      <w:proofErr w:type="gramStart"/>
      <w:r w:rsidRPr="009B1965">
        <w:rPr>
          <w:rFonts w:ascii="Arial" w:hAnsi="Arial" w:cs="Arial"/>
          <w:snapToGrid w:val="0"/>
          <w:sz w:val="20"/>
          <w:szCs w:val="20"/>
          <w:lang w:val="en-US" w:bidi="en-US"/>
        </w:rPr>
        <w:t>doi</w:t>
      </w:r>
      <w:proofErr w:type="spellEnd"/>
      <w:proofErr w:type="gramEnd"/>
      <w:r w:rsidRPr="009B1965">
        <w:rPr>
          <w:rFonts w:ascii="Arial" w:hAnsi="Arial" w:cs="Arial"/>
          <w:snapToGrid w:val="0"/>
          <w:sz w:val="20"/>
          <w:szCs w:val="20"/>
          <w:lang w:val="en-US" w:bidi="en-US"/>
        </w:rPr>
        <w:t>: 10.1016/j.yebeh.2017.01.005.</w:t>
      </w:r>
    </w:p>
    <w:p w:rsidR="009133E7" w:rsidRPr="009B1965" w:rsidRDefault="009133E7" w:rsidP="009A41C3">
      <w:pPr>
        <w:numPr>
          <w:ilvl w:val="0"/>
          <w:numId w:val="5"/>
        </w:numPr>
        <w:tabs>
          <w:tab w:val="left" w:pos="284"/>
        </w:tabs>
        <w:spacing w:afterLines="100" w:after="240" w:line="240" w:lineRule="auto"/>
        <w:ind w:left="0" w:firstLine="0"/>
        <w:jc w:val="both"/>
        <w:rPr>
          <w:rFonts w:ascii="Arial" w:eastAsia="Times New Roman" w:hAnsi="Arial" w:cs="Arial"/>
          <w:color w:val="000000"/>
          <w:sz w:val="20"/>
          <w:szCs w:val="20"/>
          <w:lang w:val="en-US" w:eastAsia="de-DE"/>
        </w:rPr>
      </w:pPr>
      <w:proofErr w:type="spellStart"/>
      <w:r w:rsidRPr="009B1965">
        <w:rPr>
          <w:rFonts w:ascii="Arial" w:eastAsia="Times New Roman" w:hAnsi="Arial" w:cs="Arial"/>
          <w:color w:val="000000"/>
          <w:sz w:val="20"/>
          <w:szCs w:val="20"/>
          <w:lang w:eastAsia="de-DE"/>
        </w:rPr>
        <w:t>McKee</w:t>
      </w:r>
      <w:proofErr w:type="spellEnd"/>
      <w:r w:rsidRPr="009B1965">
        <w:rPr>
          <w:rFonts w:ascii="Arial" w:eastAsia="Times New Roman" w:hAnsi="Arial" w:cs="Arial"/>
          <w:color w:val="000000"/>
          <w:sz w:val="20"/>
          <w:szCs w:val="20"/>
          <w:lang w:eastAsia="de-DE"/>
        </w:rPr>
        <w:t xml:space="preserve"> HR, </w:t>
      </w:r>
      <w:proofErr w:type="spellStart"/>
      <w:r w:rsidRPr="009B1965">
        <w:rPr>
          <w:rFonts w:ascii="Arial" w:eastAsia="Times New Roman" w:hAnsi="Arial" w:cs="Arial"/>
          <w:color w:val="000000"/>
          <w:sz w:val="20"/>
          <w:szCs w:val="20"/>
          <w:lang w:eastAsia="de-DE"/>
        </w:rPr>
        <w:t>Privitera</w:t>
      </w:r>
      <w:proofErr w:type="spellEnd"/>
      <w:r w:rsidRPr="009B1965">
        <w:rPr>
          <w:rFonts w:ascii="Arial" w:eastAsia="Times New Roman" w:hAnsi="Arial" w:cs="Arial"/>
          <w:color w:val="000000"/>
          <w:sz w:val="20"/>
          <w:szCs w:val="20"/>
          <w:lang w:eastAsia="de-DE"/>
        </w:rPr>
        <w:t xml:space="preserve"> MD. El estrés como un precipitante epiléptico: identificación, factores asociados y opciones de tratamiento. </w:t>
      </w:r>
      <w:proofErr w:type="spellStart"/>
      <w:r w:rsidRPr="009B1965">
        <w:rPr>
          <w:rFonts w:ascii="Arial" w:eastAsia="Times New Roman" w:hAnsi="Arial" w:cs="Arial"/>
          <w:i/>
          <w:color w:val="000000"/>
          <w:sz w:val="20"/>
          <w:szCs w:val="20"/>
          <w:lang w:val="en-US" w:eastAsia="de-DE"/>
        </w:rPr>
        <w:t>Incautación</w:t>
      </w:r>
      <w:proofErr w:type="spellEnd"/>
      <w:r w:rsidRPr="009B1965">
        <w:rPr>
          <w:rFonts w:ascii="Arial" w:eastAsia="Times New Roman" w:hAnsi="Arial" w:cs="Arial"/>
          <w:color w:val="000000"/>
          <w:sz w:val="20"/>
          <w:szCs w:val="20"/>
          <w:lang w:val="en-US" w:eastAsia="de-DE"/>
        </w:rPr>
        <w:t xml:space="preserve"> </w:t>
      </w:r>
      <w:r w:rsidRPr="009B1965">
        <w:rPr>
          <w:rFonts w:ascii="Arial" w:eastAsia="Times New Roman" w:hAnsi="Arial" w:cs="Arial"/>
          <w:i/>
          <w:color w:val="000000"/>
          <w:sz w:val="20"/>
          <w:szCs w:val="20"/>
          <w:lang w:val="en-US" w:eastAsia="de-DE"/>
        </w:rPr>
        <w:t>2017</w:t>
      </w:r>
      <w:r w:rsidRPr="009B1965">
        <w:rPr>
          <w:rFonts w:ascii="Arial" w:eastAsia="Times New Roman" w:hAnsi="Arial" w:cs="Arial"/>
          <w:color w:val="000000"/>
          <w:sz w:val="20"/>
          <w:szCs w:val="20"/>
          <w:lang w:val="en-US" w:eastAsia="de-DE"/>
        </w:rPr>
        <w:t xml:space="preserve">; </w:t>
      </w:r>
      <w:proofErr w:type="spellStart"/>
      <w:r w:rsidRPr="009B1965">
        <w:rPr>
          <w:rFonts w:ascii="Arial" w:eastAsia="Times New Roman" w:hAnsi="Arial" w:cs="Arial"/>
          <w:color w:val="000000"/>
          <w:sz w:val="20"/>
          <w:szCs w:val="20"/>
          <w:lang w:val="en-US" w:eastAsia="de-DE"/>
        </w:rPr>
        <w:t>Enero</w:t>
      </w:r>
      <w:proofErr w:type="spellEnd"/>
      <w:r w:rsidRPr="009B1965">
        <w:rPr>
          <w:rFonts w:ascii="Arial" w:eastAsia="Times New Roman" w:hAnsi="Arial" w:cs="Arial"/>
          <w:color w:val="000000"/>
          <w:sz w:val="20"/>
          <w:szCs w:val="20"/>
          <w:lang w:val="en-US" w:eastAsia="de-DE"/>
        </w:rPr>
        <w:t xml:space="preserve">; 44: 21-26. </w:t>
      </w:r>
      <w:proofErr w:type="spellStart"/>
      <w:proofErr w:type="gramStart"/>
      <w:r w:rsidRPr="009B1965">
        <w:rPr>
          <w:rFonts w:ascii="Arial" w:eastAsia="Times New Roman" w:hAnsi="Arial" w:cs="Arial"/>
          <w:color w:val="000000"/>
          <w:sz w:val="20"/>
          <w:szCs w:val="20"/>
          <w:lang w:val="en-US" w:eastAsia="de-DE"/>
        </w:rPr>
        <w:t>doi</w:t>
      </w:r>
      <w:proofErr w:type="spellEnd"/>
      <w:proofErr w:type="gramEnd"/>
      <w:r w:rsidRPr="009B1965">
        <w:rPr>
          <w:rFonts w:ascii="Arial" w:eastAsia="Times New Roman" w:hAnsi="Arial" w:cs="Arial"/>
          <w:color w:val="000000"/>
          <w:sz w:val="20"/>
          <w:szCs w:val="20"/>
          <w:lang w:val="en-US" w:eastAsia="de-DE"/>
        </w:rPr>
        <w:t xml:space="preserve">: 10.1016 / j.seizure.2016.12.009.  </w:t>
      </w:r>
    </w:p>
    <w:p w:rsidR="009133E7" w:rsidRPr="009B1965" w:rsidRDefault="009133E7" w:rsidP="009A41C3">
      <w:pPr>
        <w:numPr>
          <w:ilvl w:val="0"/>
          <w:numId w:val="5"/>
        </w:numPr>
        <w:tabs>
          <w:tab w:val="left" w:pos="142"/>
          <w:tab w:val="left" w:pos="284"/>
        </w:tabs>
        <w:adjustRightInd w:val="0"/>
        <w:snapToGrid w:val="0"/>
        <w:spacing w:after="0" w:line="260" w:lineRule="atLeast"/>
        <w:ind w:left="0" w:firstLine="0"/>
        <w:jc w:val="both"/>
        <w:outlineLvl w:val="0"/>
        <w:rPr>
          <w:rFonts w:ascii="Arial" w:eastAsia="Times New Roman" w:hAnsi="Arial" w:cs="Arial"/>
          <w:snapToGrid w:val="0"/>
          <w:color w:val="000000"/>
          <w:sz w:val="20"/>
          <w:szCs w:val="20"/>
          <w:lang w:val="en-US" w:eastAsia="de-DE" w:bidi="en-US"/>
        </w:rPr>
      </w:pPr>
      <w:r w:rsidRPr="009B1965">
        <w:rPr>
          <w:rFonts w:ascii="Arial" w:eastAsia="Times New Roman" w:hAnsi="Arial" w:cs="Arial"/>
          <w:snapToGrid w:val="0"/>
          <w:color w:val="000000"/>
          <w:sz w:val="20"/>
          <w:szCs w:val="20"/>
          <w:lang w:val="en-US" w:eastAsia="de-DE" w:bidi="en-US"/>
        </w:rPr>
        <w:t xml:space="preserve"> </w:t>
      </w:r>
      <w:proofErr w:type="spellStart"/>
      <w:r w:rsidRPr="009B1965">
        <w:rPr>
          <w:rFonts w:ascii="Arial" w:eastAsia="Times New Roman" w:hAnsi="Arial" w:cs="Arial"/>
          <w:snapToGrid w:val="0"/>
          <w:color w:val="000000"/>
          <w:sz w:val="20"/>
          <w:szCs w:val="20"/>
          <w:lang w:val="en-US" w:eastAsia="de-DE" w:bidi="en-US"/>
        </w:rPr>
        <w:t>Herskovitz</w:t>
      </w:r>
      <w:proofErr w:type="spellEnd"/>
      <w:r w:rsidRPr="009B1965">
        <w:rPr>
          <w:rFonts w:ascii="Arial" w:eastAsia="Times New Roman" w:hAnsi="Arial" w:cs="Arial"/>
          <w:snapToGrid w:val="0"/>
          <w:color w:val="000000"/>
          <w:sz w:val="20"/>
          <w:szCs w:val="20"/>
          <w:lang w:val="en-US" w:eastAsia="de-DE" w:bidi="en-US"/>
        </w:rPr>
        <w:t xml:space="preserve">, M. Stereotypy of psychogenic </w:t>
      </w:r>
      <w:proofErr w:type="spellStart"/>
      <w:r w:rsidRPr="009B1965">
        <w:rPr>
          <w:rFonts w:ascii="Arial" w:eastAsia="Times New Roman" w:hAnsi="Arial" w:cs="Arial"/>
          <w:snapToGrid w:val="0"/>
          <w:color w:val="000000"/>
          <w:sz w:val="20"/>
          <w:szCs w:val="20"/>
          <w:lang w:val="en-US" w:eastAsia="de-DE" w:bidi="en-US"/>
        </w:rPr>
        <w:t>nonepileptic</w:t>
      </w:r>
      <w:proofErr w:type="spellEnd"/>
      <w:r w:rsidRPr="009B1965">
        <w:rPr>
          <w:rFonts w:ascii="Arial" w:eastAsia="Times New Roman" w:hAnsi="Arial" w:cs="Arial"/>
          <w:snapToGrid w:val="0"/>
          <w:color w:val="000000"/>
          <w:sz w:val="20"/>
          <w:szCs w:val="20"/>
          <w:lang w:val="en-US" w:eastAsia="de-DE" w:bidi="en-US"/>
        </w:rPr>
        <w:t xml:space="preserve"> seizures. </w:t>
      </w:r>
      <w:r w:rsidRPr="009B1965">
        <w:rPr>
          <w:rFonts w:ascii="Arial" w:eastAsia="Times New Roman" w:hAnsi="Arial" w:cs="Arial"/>
          <w:i/>
          <w:snapToGrid w:val="0"/>
          <w:color w:val="000000"/>
          <w:sz w:val="20"/>
          <w:szCs w:val="20"/>
          <w:lang w:val="en-US" w:eastAsia="de-DE" w:bidi="en-US"/>
        </w:rPr>
        <w:t xml:space="preserve">Epilepsy </w:t>
      </w:r>
      <w:proofErr w:type="spellStart"/>
      <w:r w:rsidRPr="009B1965">
        <w:rPr>
          <w:rFonts w:ascii="Arial" w:eastAsia="Times New Roman" w:hAnsi="Arial" w:cs="Arial"/>
          <w:i/>
          <w:snapToGrid w:val="0"/>
          <w:color w:val="000000"/>
          <w:sz w:val="20"/>
          <w:szCs w:val="20"/>
          <w:lang w:val="en-US" w:eastAsia="de-DE" w:bidi="en-US"/>
        </w:rPr>
        <w:t>Behav</w:t>
      </w:r>
      <w:proofErr w:type="spellEnd"/>
      <w:r w:rsidRPr="009B1965">
        <w:rPr>
          <w:rFonts w:ascii="Arial" w:eastAsia="Times New Roman" w:hAnsi="Arial" w:cs="Arial"/>
          <w:i/>
          <w:snapToGrid w:val="0"/>
          <w:color w:val="000000"/>
          <w:sz w:val="20"/>
          <w:szCs w:val="20"/>
          <w:lang w:val="en-US" w:eastAsia="de-DE" w:bidi="en-US"/>
        </w:rPr>
        <w:t xml:space="preserve">. </w:t>
      </w:r>
      <w:r w:rsidRPr="009B1965">
        <w:rPr>
          <w:rFonts w:ascii="Arial" w:eastAsia="Times New Roman" w:hAnsi="Arial" w:cs="Arial"/>
          <w:snapToGrid w:val="0"/>
          <w:color w:val="000000"/>
          <w:sz w:val="20"/>
          <w:szCs w:val="20"/>
          <w:lang w:val="en-US" w:eastAsia="de-DE" w:bidi="en-US"/>
        </w:rPr>
        <w:t>2017 May</w:t>
      </w:r>
      <w:proofErr w:type="gramStart"/>
      <w:r w:rsidRPr="009B1965">
        <w:rPr>
          <w:rFonts w:ascii="Arial" w:eastAsia="Times New Roman" w:hAnsi="Arial" w:cs="Arial"/>
          <w:snapToGrid w:val="0"/>
          <w:color w:val="000000"/>
          <w:sz w:val="20"/>
          <w:szCs w:val="20"/>
          <w:lang w:val="en-US" w:eastAsia="de-DE" w:bidi="en-US"/>
        </w:rPr>
        <w:t>;70</w:t>
      </w:r>
      <w:proofErr w:type="gramEnd"/>
      <w:r w:rsidRPr="009B1965">
        <w:rPr>
          <w:rFonts w:ascii="Arial" w:eastAsia="Times New Roman" w:hAnsi="Arial" w:cs="Arial"/>
          <w:snapToGrid w:val="0"/>
          <w:color w:val="000000"/>
          <w:sz w:val="20"/>
          <w:szCs w:val="20"/>
          <w:lang w:val="en-US" w:eastAsia="de-DE" w:bidi="en-US"/>
        </w:rPr>
        <w:t>(</w:t>
      </w:r>
      <w:proofErr w:type="spellStart"/>
      <w:r w:rsidRPr="009B1965">
        <w:rPr>
          <w:rFonts w:ascii="Arial" w:eastAsia="Times New Roman" w:hAnsi="Arial" w:cs="Arial"/>
          <w:snapToGrid w:val="0"/>
          <w:color w:val="000000"/>
          <w:sz w:val="20"/>
          <w:szCs w:val="20"/>
          <w:lang w:val="en-US" w:eastAsia="de-DE" w:bidi="en-US"/>
        </w:rPr>
        <w:t>Pt</w:t>
      </w:r>
      <w:proofErr w:type="spellEnd"/>
      <w:r w:rsidRPr="009B1965">
        <w:rPr>
          <w:rFonts w:ascii="Arial" w:eastAsia="Times New Roman" w:hAnsi="Arial" w:cs="Arial"/>
          <w:snapToGrid w:val="0"/>
          <w:color w:val="000000"/>
          <w:sz w:val="20"/>
          <w:szCs w:val="20"/>
          <w:lang w:val="en-US" w:eastAsia="de-DE" w:bidi="en-US"/>
        </w:rPr>
        <w:t xml:space="preserve"> A):140-144. </w:t>
      </w:r>
      <w:proofErr w:type="spellStart"/>
      <w:proofErr w:type="gramStart"/>
      <w:r w:rsidRPr="009B1965">
        <w:rPr>
          <w:rFonts w:ascii="Arial" w:eastAsia="Times New Roman" w:hAnsi="Arial" w:cs="Arial"/>
          <w:snapToGrid w:val="0"/>
          <w:color w:val="000000"/>
          <w:sz w:val="20"/>
          <w:szCs w:val="20"/>
          <w:lang w:val="en-US" w:eastAsia="de-DE" w:bidi="en-US"/>
        </w:rPr>
        <w:t>doi</w:t>
      </w:r>
      <w:proofErr w:type="spellEnd"/>
      <w:proofErr w:type="gramEnd"/>
      <w:r w:rsidRPr="009B1965">
        <w:rPr>
          <w:rFonts w:ascii="Arial" w:eastAsia="Times New Roman" w:hAnsi="Arial" w:cs="Arial"/>
          <w:snapToGrid w:val="0"/>
          <w:color w:val="000000"/>
          <w:sz w:val="20"/>
          <w:szCs w:val="20"/>
          <w:lang w:val="en-US" w:eastAsia="de-DE" w:bidi="en-US"/>
        </w:rPr>
        <w:t>: 10.1016/j.yebeh.2017.02.015.</w:t>
      </w:r>
    </w:p>
    <w:p w:rsidR="009133E7" w:rsidRPr="009B1965" w:rsidRDefault="009133E7" w:rsidP="009A41C3">
      <w:pPr>
        <w:tabs>
          <w:tab w:val="left" w:pos="916"/>
          <w:tab w:val="left" w:pos="1832"/>
          <w:tab w:val="left" w:pos="2748"/>
          <w:tab w:val="left" w:pos="3664"/>
          <w:tab w:val="left" w:pos="4580"/>
          <w:tab w:val="left" w:pos="5496"/>
          <w:tab w:val="left" w:pos="6412"/>
          <w:tab w:val="left" w:pos="7328"/>
          <w:tab w:val="left" w:pos="7938"/>
          <w:tab w:val="left" w:pos="9160"/>
          <w:tab w:val="left" w:pos="10076"/>
          <w:tab w:val="left" w:pos="10992"/>
          <w:tab w:val="left" w:pos="11908"/>
          <w:tab w:val="left" w:pos="12824"/>
          <w:tab w:val="left" w:pos="13740"/>
          <w:tab w:val="left" w:pos="14656"/>
        </w:tabs>
        <w:spacing w:afterLines="100" w:after="240" w:line="240" w:lineRule="auto"/>
        <w:contextualSpacing/>
        <w:jc w:val="both"/>
        <w:rPr>
          <w:rFonts w:ascii="Arial" w:eastAsia="Times New Roman" w:hAnsi="Arial" w:cs="Arial"/>
          <w:sz w:val="20"/>
          <w:szCs w:val="20"/>
          <w:lang w:val="en-US" w:eastAsia="es-ES"/>
        </w:rPr>
      </w:pPr>
    </w:p>
    <w:p w:rsidR="009133E7" w:rsidRPr="009B1965" w:rsidRDefault="009133E7" w:rsidP="009A41C3">
      <w:pPr>
        <w:tabs>
          <w:tab w:val="left" w:pos="426"/>
        </w:tabs>
        <w:spacing w:afterLines="100" w:after="240" w:line="240" w:lineRule="auto"/>
        <w:jc w:val="both"/>
        <w:rPr>
          <w:rFonts w:ascii="Arial" w:hAnsi="Arial" w:cs="Arial"/>
          <w:sz w:val="20"/>
          <w:szCs w:val="20"/>
          <w:lang w:val="en-US"/>
        </w:rPr>
      </w:pPr>
      <w:r w:rsidRPr="009B1965">
        <w:rPr>
          <w:rFonts w:ascii="Arial" w:hAnsi="Arial" w:cs="Arial"/>
          <w:sz w:val="20"/>
          <w:szCs w:val="20"/>
          <w:lang w:val="en-US"/>
        </w:rPr>
        <w:t xml:space="preserve">10. Spitzer RL, </w:t>
      </w:r>
      <w:proofErr w:type="spellStart"/>
      <w:r w:rsidRPr="009B1965">
        <w:rPr>
          <w:rFonts w:ascii="Arial" w:hAnsi="Arial" w:cs="Arial"/>
          <w:sz w:val="20"/>
          <w:szCs w:val="20"/>
          <w:lang w:val="en-US"/>
        </w:rPr>
        <w:t>Kroenke</w:t>
      </w:r>
      <w:proofErr w:type="spellEnd"/>
      <w:r w:rsidRPr="009B1965">
        <w:rPr>
          <w:rFonts w:ascii="Arial" w:hAnsi="Arial" w:cs="Arial"/>
          <w:sz w:val="20"/>
          <w:szCs w:val="20"/>
          <w:lang w:val="en-US"/>
        </w:rPr>
        <w:t xml:space="preserve"> K, Williams JB, </w:t>
      </w:r>
      <w:proofErr w:type="spellStart"/>
      <w:r w:rsidRPr="009B1965">
        <w:rPr>
          <w:rFonts w:ascii="Arial" w:hAnsi="Arial" w:cs="Arial"/>
          <w:sz w:val="20"/>
          <w:szCs w:val="20"/>
          <w:lang w:val="en-US"/>
        </w:rPr>
        <w:t>Löwe</w:t>
      </w:r>
      <w:proofErr w:type="spellEnd"/>
      <w:r w:rsidRPr="009B1965">
        <w:rPr>
          <w:rFonts w:ascii="Arial" w:hAnsi="Arial" w:cs="Arial"/>
          <w:sz w:val="20"/>
          <w:szCs w:val="20"/>
          <w:lang w:val="en-US"/>
        </w:rPr>
        <w:t xml:space="preserve"> B.  A brief measure for assessing generalized anxiety disorder: the GAD-7. </w:t>
      </w:r>
      <w:r w:rsidRPr="009B1965">
        <w:rPr>
          <w:rFonts w:ascii="Arial" w:hAnsi="Arial" w:cs="Arial"/>
          <w:i/>
          <w:sz w:val="20"/>
          <w:szCs w:val="20"/>
          <w:lang w:val="en-US"/>
        </w:rPr>
        <w:t>Arch Intern Med. 2006</w:t>
      </w:r>
      <w:r w:rsidRPr="009B1965">
        <w:rPr>
          <w:rFonts w:ascii="Arial" w:hAnsi="Arial" w:cs="Arial"/>
          <w:sz w:val="20"/>
          <w:szCs w:val="20"/>
          <w:lang w:val="en-US"/>
        </w:rPr>
        <w:t>; May 22</w:t>
      </w:r>
      <w:proofErr w:type="gramStart"/>
      <w:r w:rsidRPr="009B1965">
        <w:rPr>
          <w:rFonts w:ascii="Arial" w:hAnsi="Arial" w:cs="Arial"/>
          <w:sz w:val="20"/>
          <w:szCs w:val="20"/>
          <w:lang w:val="en-US"/>
        </w:rPr>
        <w:t>;166</w:t>
      </w:r>
      <w:proofErr w:type="gramEnd"/>
      <w:r w:rsidRPr="009B1965">
        <w:rPr>
          <w:rFonts w:ascii="Arial" w:hAnsi="Arial" w:cs="Arial"/>
          <w:sz w:val="20"/>
          <w:szCs w:val="20"/>
          <w:lang w:val="en-US"/>
        </w:rPr>
        <w:t>(10):1092-7.</w:t>
      </w:r>
    </w:p>
    <w:p w:rsidR="009133E7" w:rsidRPr="009B1965" w:rsidRDefault="009133E7" w:rsidP="009A41C3">
      <w:pPr>
        <w:spacing w:afterLines="100" w:after="240" w:line="240" w:lineRule="auto"/>
        <w:jc w:val="both"/>
        <w:rPr>
          <w:rFonts w:ascii="Arial" w:eastAsia="Times New Roman" w:hAnsi="Arial" w:cs="Arial"/>
          <w:sz w:val="20"/>
          <w:szCs w:val="20"/>
          <w:lang w:val="en-US" w:eastAsia="es-ES"/>
        </w:rPr>
      </w:pPr>
      <w:r w:rsidRPr="009B1965">
        <w:rPr>
          <w:rFonts w:ascii="Arial" w:eastAsia="Times New Roman" w:hAnsi="Arial" w:cs="Arial"/>
          <w:sz w:val="20"/>
          <w:szCs w:val="20"/>
          <w:lang w:val="en-US" w:eastAsia="es-ES"/>
        </w:rPr>
        <w:t xml:space="preserve">11. Gilliam FG, Barry JJ, Hermann BP, Meador KJ, </w:t>
      </w:r>
      <w:proofErr w:type="spellStart"/>
      <w:r w:rsidRPr="009B1965">
        <w:rPr>
          <w:rFonts w:ascii="Arial" w:eastAsia="Times New Roman" w:hAnsi="Arial" w:cs="Arial"/>
          <w:sz w:val="20"/>
          <w:szCs w:val="20"/>
          <w:lang w:val="en-US" w:eastAsia="es-ES"/>
        </w:rPr>
        <w:t>Vahle</w:t>
      </w:r>
      <w:proofErr w:type="spellEnd"/>
      <w:r w:rsidRPr="009B1965">
        <w:rPr>
          <w:rFonts w:ascii="Arial" w:eastAsia="Times New Roman" w:hAnsi="Arial" w:cs="Arial"/>
          <w:sz w:val="20"/>
          <w:szCs w:val="20"/>
          <w:lang w:val="en-US" w:eastAsia="es-ES"/>
        </w:rPr>
        <w:t xml:space="preserve"> V, </w:t>
      </w:r>
      <w:proofErr w:type="spellStart"/>
      <w:r w:rsidRPr="009B1965">
        <w:rPr>
          <w:rFonts w:ascii="Arial" w:eastAsia="Times New Roman" w:hAnsi="Arial" w:cs="Arial"/>
          <w:sz w:val="20"/>
          <w:szCs w:val="20"/>
          <w:lang w:val="en-US" w:eastAsia="es-ES"/>
        </w:rPr>
        <w:t>Kanner</w:t>
      </w:r>
      <w:proofErr w:type="spellEnd"/>
      <w:r w:rsidRPr="009B1965">
        <w:rPr>
          <w:rFonts w:ascii="Arial" w:eastAsia="Times New Roman" w:hAnsi="Arial" w:cs="Arial"/>
          <w:sz w:val="20"/>
          <w:szCs w:val="20"/>
          <w:lang w:val="en-US" w:eastAsia="es-ES"/>
        </w:rPr>
        <w:t xml:space="preserve"> AM. Rapid detection of major depression in epilepsy: a </w:t>
      </w:r>
      <w:proofErr w:type="spellStart"/>
      <w:r w:rsidRPr="009B1965">
        <w:rPr>
          <w:rFonts w:ascii="Arial" w:eastAsia="Times New Roman" w:hAnsi="Arial" w:cs="Arial"/>
          <w:sz w:val="20"/>
          <w:szCs w:val="20"/>
          <w:lang w:val="en-US" w:eastAsia="es-ES"/>
        </w:rPr>
        <w:t>multicentre</w:t>
      </w:r>
      <w:proofErr w:type="spellEnd"/>
      <w:r w:rsidRPr="009B1965">
        <w:rPr>
          <w:rFonts w:ascii="Arial" w:eastAsia="Times New Roman" w:hAnsi="Arial" w:cs="Arial"/>
          <w:sz w:val="20"/>
          <w:szCs w:val="20"/>
          <w:lang w:val="en-US" w:eastAsia="es-ES"/>
        </w:rPr>
        <w:t xml:space="preserve"> study. </w:t>
      </w:r>
      <w:r w:rsidRPr="009B1965">
        <w:rPr>
          <w:rFonts w:ascii="Arial" w:eastAsia="Times New Roman" w:hAnsi="Arial" w:cs="Arial"/>
          <w:i/>
          <w:sz w:val="20"/>
          <w:szCs w:val="20"/>
          <w:lang w:val="en-US" w:eastAsia="es-ES"/>
        </w:rPr>
        <w:t xml:space="preserve">Lancet </w:t>
      </w:r>
      <w:proofErr w:type="spellStart"/>
      <w:r w:rsidRPr="009B1965">
        <w:rPr>
          <w:rFonts w:ascii="Arial" w:eastAsia="Times New Roman" w:hAnsi="Arial" w:cs="Arial"/>
          <w:i/>
          <w:sz w:val="20"/>
          <w:szCs w:val="20"/>
          <w:lang w:val="en-US" w:eastAsia="es-ES"/>
        </w:rPr>
        <w:t>Neurol</w:t>
      </w:r>
      <w:proofErr w:type="spellEnd"/>
      <w:r w:rsidRPr="009B1965">
        <w:rPr>
          <w:rFonts w:ascii="Arial" w:eastAsia="Times New Roman" w:hAnsi="Arial" w:cs="Arial"/>
          <w:i/>
          <w:sz w:val="20"/>
          <w:szCs w:val="20"/>
          <w:lang w:val="en-US" w:eastAsia="es-ES"/>
        </w:rPr>
        <w:t xml:space="preserve"> 2006</w:t>
      </w:r>
      <w:r w:rsidRPr="009B1965">
        <w:rPr>
          <w:rFonts w:ascii="Arial" w:eastAsia="Times New Roman" w:hAnsi="Arial" w:cs="Arial"/>
          <w:sz w:val="20"/>
          <w:szCs w:val="20"/>
          <w:lang w:val="en-US" w:eastAsia="es-ES"/>
        </w:rPr>
        <w:t>; May</w:t>
      </w:r>
      <w:proofErr w:type="gramStart"/>
      <w:r w:rsidRPr="009B1965">
        <w:rPr>
          <w:rFonts w:ascii="Arial" w:eastAsia="Times New Roman" w:hAnsi="Arial" w:cs="Arial"/>
          <w:sz w:val="20"/>
          <w:szCs w:val="20"/>
          <w:lang w:val="en-US" w:eastAsia="es-ES"/>
        </w:rPr>
        <w:t>;5</w:t>
      </w:r>
      <w:proofErr w:type="gramEnd"/>
      <w:r w:rsidRPr="009B1965">
        <w:rPr>
          <w:rFonts w:ascii="Arial" w:eastAsia="Times New Roman" w:hAnsi="Arial" w:cs="Arial"/>
          <w:sz w:val="20"/>
          <w:szCs w:val="20"/>
          <w:lang w:val="en-US" w:eastAsia="es-ES"/>
        </w:rPr>
        <w:t>(5):399-405.</w:t>
      </w:r>
    </w:p>
    <w:p w:rsidR="009133E7" w:rsidRPr="009B1965" w:rsidRDefault="009133E7" w:rsidP="009A41C3">
      <w:pPr>
        <w:spacing w:afterLines="100" w:after="240" w:line="240" w:lineRule="auto"/>
        <w:jc w:val="both"/>
        <w:rPr>
          <w:rFonts w:ascii="Arial" w:hAnsi="Arial" w:cs="Arial"/>
          <w:sz w:val="20"/>
          <w:szCs w:val="20"/>
          <w:lang w:val="en-US"/>
        </w:rPr>
      </w:pPr>
      <w:r w:rsidRPr="009B1965">
        <w:rPr>
          <w:rFonts w:ascii="Arial" w:hAnsi="Arial" w:cs="Arial"/>
          <w:sz w:val="20"/>
          <w:szCs w:val="20"/>
          <w:lang w:val="en-US"/>
        </w:rPr>
        <w:lastRenderedPageBreak/>
        <w:t xml:space="preserve">12. Carver CS. You want to measure coping but your protocol´s too long: consider the </w:t>
      </w:r>
      <w:proofErr w:type="spellStart"/>
      <w:r w:rsidRPr="009B1965">
        <w:rPr>
          <w:rFonts w:ascii="Arial" w:hAnsi="Arial" w:cs="Arial"/>
          <w:sz w:val="20"/>
          <w:szCs w:val="20"/>
          <w:lang w:val="en-US"/>
        </w:rPr>
        <w:t>briefCOPE</w:t>
      </w:r>
      <w:proofErr w:type="spellEnd"/>
      <w:r w:rsidRPr="009B1965">
        <w:rPr>
          <w:rFonts w:ascii="Arial" w:hAnsi="Arial" w:cs="Arial"/>
          <w:sz w:val="20"/>
          <w:szCs w:val="20"/>
          <w:lang w:val="en-US"/>
        </w:rPr>
        <w:t xml:space="preserve">. </w:t>
      </w:r>
      <w:proofErr w:type="spellStart"/>
      <w:r w:rsidRPr="009B1965">
        <w:rPr>
          <w:rFonts w:ascii="Arial" w:hAnsi="Arial" w:cs="Arial"/>
          <w:i/>
          <w:sz w:val="20"/>
          <w:szCs w:val="20"/>
          <w:lang w:val="en-US"/>
        </w:rPr>
        <w:t>Int</w:t>
      </w:r>
      <w:proofErr w:type="spellEnd"/>
      <w:r w:rsidRPr="009B1965">
        <w:rPr>
          <w:rFonts w:ascii="Arial" w:hAnsi="Arial" w:cs="Arial"/>
          <w:i/>
          <w:sz w:val="20"/>
          <w:szCs w:val="20"/>
          <w:lang w:val="en-US"/>
        </w:rPr>
        <w:t xml:space="preserve"> J </w:t>
      </w:r>
      <w:proofErr w:type="spellStart"/>
      <w:r w:rsidRPr="009B1965">
        <w:rPr>
          <w:rFonts w:ascii="Arial" w:hAnsi="Arial" w:cs="Arial"/>
          <w:i/>
          <w:sz w:val="20"/>
          <w:szCs w:val="20"/>
          <w:lang w:val="en-US"/>
        </w:rPr>
        <w:t>Behav</w:t>
      </w:r>
      <w:proofErr w:type="spellEnd"/>
      <w:r w:rsidRPr="009B1965">
        <w:rPr>
          <w:rFonts w:ascii="Arial" w:hAnsi="Arial" w:cs="Arial"/>
          <w:i/>
          <w:sz w:val="20"/>
          <w:szCs w:val="20"/>
          <w:lang w:val="en-US"/>
        </w:rPr>
        <w:t xml:space="preserve"> Med 1997</w:t>
      </w:r>
      <w:r w:rsidRPr="009B1965">
        <w:rPr>
          <w:rFonts w:ascii="Arial" w:hAnsi="Arial" w:cs="Arial"/>
          <w:sz w:val="20"/>
          <w:szCs w:val="20"/>
          <w:lang w:val="en-US"/>
        </w:rPr>
        <w:t>; 4: 92-100</w:t>
      </w:r>
    </w:p>
    <w:p w:rsidR="009133E7" w:rsidRPr="009B1965" w:rsidRDefault="009133E7" w:rsidP="009A41C3">
      <w:pPr>
        <w:spacing w:afterLines="100" w:after="240" w:line="240" w:lineRule="auto"/>
        <w:jc w:val="both"/>
        <w:rPr>
          <w:rFonts w:ascii="Arial" w:hAnsi="Arial" w:cs="Arial"/>
          <w:sz w:val="20"/>
          <w:szCs w:val="20"/>
        </w:rPr>
      </w:pPr>
      <w:r w:rsidRPr="009B1965">
        <w:rPr>
          <w:rFonts w:ascii="Arial" w:hAnsi="Arial" w:cs="Arial"/>
          <w:sz w:val="20"/>
          <w:szCs w:val="20"/>
          <w:lang w:val="en-US"/>
        </w:rPr>
        <w:t xml:space="preserve">13. Carlson EB, Putnam FW.  </w:t>
      </w:r>
      <w:proofErr w:type="gramStart"/>
      <w:r w:rsidRPr="009B1965">
        <w:rPr>
          <w:rFonts w:ascii="Arial" w:hAnsi="Arial" w:cs="Arial"/>
          <w:sz w:val="20"/>
          <w:szCs w:val="20"/>
          <w:lang w:val="en-US"/>
        </w:rPr>
        <w:t>An update on the Dissociative Experience Scale.</w:t>
      </w:r>
      <w:proofErr w:type="gramEnd"/>
      <w:r w:rsidRPr="009B1965">
        <w:rPr>
          <w:rFonts w:ascii="Arial" w:hAnsi="Arial" w:cs="Arial"/>
          <w:sz w:val="20"/>
          <w:szCs w:val="20"/>
          <w:lang w:val="en-US"/>
        </w:rPr>
        <w:t xml:space="preserve"> </w:t>
      </w:r>
      <w:proofErr w:type="spellStart"/>
      <w:r w:rsidRPr="009B1965">
        <w:rPr>
          <w:rFonts w:ascii="Arial" w:hAnsi="Arial" w:cs="Arial"/>
          <w:i/>
          <w:sz w:val="20"/>
          <w:szCs w:val="20"/>
        </w:rPr>
        <w:t>Dissociation</w:t>
      </w:r>
      <w:proofErr w:type="spellEnd"/>
      <w:r w:rsidRPr="009B1965">
        <w:rPr>
          <w:rFonts w:ascii="Arial" w:hAnsi="Arial" w:cs="Arial"/>
          <w:sz w:val="20"/>
          <w:szCs w:val="20"/>
        </w:rPr>
        <w:t xml:space="preserve"> 1993; 6: 16-27.</w:t>
      </w:r>
    </w:p>
    <w:p w:rsidR="009133E7" w:rsidRPr="009B1965" w:rsidRDefault="009133E7" w:rsidP="009A41C3">
      <w:pPr>
        <w:tabs>
          <w:tab w:val="left" w:pos="284"/>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color w:val="0563C1"/>
          <w:sz w:val="20"/>
          <w:szCs w:val="20"/>
          <w:u w:val="single"/>
          <w:lang w:eastAsia="de-DE"/>
        </w:rPr>
      </w:pPr>
      <w:r w:rsidRPr="009B1965">
        <w:rPr>
          <w:rFonts w:ascii="Arial" w:hAnsi="Arial" w:cs="Arial"/>
          <w:color w:val="000000"/>
          <w:sz w:val="20"/>
          <w:szCs w:val="20"/>
          <w:lang w:eastAsia="de-DE"/>
        </w:rPr>
        <w:t xml:space="preserve">14. Rubio MJ, Vara J. El análisis de la realidad en la intervención social. Selección de Lecturas sobre Sociología y Trabajo Social. 2004. Disponible en: </w:t>
      </w:r>
      <w:hyperlink r:id="rId16" w:history="1">
        <w:r w:rsidRPr="009B1965">
          <w:rPr>
            <w:rFonts w:ascii="Arial" w:hAnsi="Arial" w:cs="Arial"/>
            <w:color w:val="0563C1"/>
            <w:sz w:val="20"/>
            <w:szCs w:val="20"/>
            <w:u w:val="single"/>
            <w:lang w:eastAsia="de-DE"/>
          </w:rPr>
          <w:t>https://es.scribd.com/doc/35226334/EL-ANALISIS-DE-LA-REALIDAD-EN-LA-INTERVENCION-SOCIAL-M%C2%AA-Jose-Rubio-y-Jesus-Varas</w:t>
        </w:r>
      </w:hyperlink>
    </w:p>
    <w:p w:rsidR="009133E7" w:rsidRPr="009B1965" w:rsidRDefault="009133E7" w:rsidP="009A41C3">
      <w:pPr>
        <w:tabs>
          <w:tab w:val="left" w:pos="916"/>
          <w:tab w:val="left" w:pos="1832"/>
          <w:tab w:val="left" w:pos="2748"/>
          <w:tab w:val="left" w:pos="3664"/>
          <w:tab w:val="left" w:pos="4580"/>
          <w:tab w:val="left" w:pos="5496"/>
          <w:tab w:val="left" w:pos="6412"/>
          <w:tab w:val="left" w:pos="7328"/>
          <w:tab w:val="left" w:pos="7938"/>
          <w:tab w:val="left" w:pos="9160"/>
          <w:tab w:val="left" w:pos="10076"/>
          <w:tab w:val="left" w:pos="10992"/>
          <w:tab w:val="left" w:pos="11908"/>
          <w:tab w:val="left" w:pos="12824"/>
          <w:tab w:val="left" w:pos="13740"/>
          <w:tab w:val="left" w:pos="14656"/>
        </w:tabs>
        <w:spacing w:afterLines="100" w:after="240" w:line="240" w:lineRule="auto"/>
        <w:contextualSpacing/>
        <w:jc w:val="both"/>
        <w:rPr>
          <w:rFonts w:ascii="Arial" w:eastAsia="Times New Roman" w:hAnsi="Arial" w:cs="Arial"/>
          <w:sz w:val="20"/>
          <w:szCs w:val="20"/>
          <w:lang w:eastAsia="es-ES"/>
        </w:rPr>
      </w:pPr>
    </w:p>
    <w:p w:rsidR="009133E7" w:rsidRPr="009B1965" w:rsidRDefault="009133E7" w:rsidP="009A41C3">
      <w:pPr>
        <w:autoSpaceDE w:val="0"/>
        <w:autoSpaceDN w:val="0"/>
        <w:adjustRightInd w:val="0"/>
        <w:spacing w:afterLines="100" w:after="240" w:line="240" w:lineRule="auto"/>
        <w:jc w:val="both"/>
        <w:rPr>
          <w:rFonts w:ascii="Arial" w:hAnsi="Arial" w:cs="Arial"/>
          <w:sz w:val="20"/>
          <w:szCs w:val="20"/>
          <w:lang w:val="en-US"/>
        </w:rPr>
      </w:pPr>
      <w:r w:rsidRPr="009B1965">
        <w:rPr>
          <w:rFonts w:ascii="Arial" w:hAnsi="Arial" w:cs="Arial"/>
          <w:sz w:val="20"/>
          <w:szCs w:val="20"/>
          <w:lang w:val="en-US"/>
        </w:rPr>
        <w:t xml:space="preserve">15. </w:t>
      </w:r>
      <w:proofErr w:type="spellStart"/>
      <w:r w:rsidRPr="009B1965">
        <w:rPr>
          <w:rFonts w:ascii="Arial" w:hAnsi="Arial" w:cs="Arial"/>
          <w:sz w:val="20"/>
          <w:szCs w:val="20"/>
          <w:lang w:val="en-US"/>
        </w:rPr>
        <w:t>Asadi-Pooya</w:t>
      </w:r>
      <w:proofErr w:type="spellEnd"/>
      <w:r w:rsidRPr="009B1965">
        <w:rPr>
          <w:rFonts w:ascii="Arial" w:hAnsi="Arial" w:cs="Arial"/>
          <w:sz w:val="20"/>
          <w:szCs w:val="20"/>
          <w:lang w:val="en-US"/>
        </w:rPr>
        <w:t xml:space="preserve"> AA, </w:t>
      </w:r>
      <w:proofErr w:type="spellStart"/>
      <w:r w:rsidRPr="009B1965">
        <w:rPr>
          <w:rFonts w:ascii="Arial" w:hAnsi="Arial" w:cs="Arial"/>
          <w:sz w:val="20"/>
          <w:szCs w:val="20"/>
          <w:lang w:val="en-US"/>
        </w:rPr>
        <w:t>Sperling</w:t>
      </w:r>
      <w:proofErr w:type="spellEnd"/>
      <w:r w:rsidRPr="009B1965">
        <w:rPr>
          <w:rFonts w:ascii="Arial" w:hAnsi="Arial" w:cs="Arial"/>
          <w:sz w:val="20"/>
          <w:szCs w:val="20"/>
          <w:lang w:val="en-US"/>
        </w:rPr>
        <w:t xml:space="preserve"> MR. Epidemiology of psychogenic </w:t>
      </w:r>
      <w:proofErr w:type="spellStart"/>
      <w:r w:rsidRPr="009B1965">
        <w:rPr>
          <w:rFonts w:ascii="Arial" w:hAnsi="Arial" w:cs="Arial"/>
          <w:sz w:val="20"/>
          <w:szCs w:val="20"/>
          <w:lang w:val="en-US"/>
        </w:rPr>
        <w:t>nonepileptic</w:t>
      </w:r>
      <w:proofErr w:type="spellEnd"/>
      <w:r w:rsidRPr="009B1965">
        <w:rPr>
          <w:rFonts w:ascii="Arial" w:hAnsi="Arial" w:cs="Arial"/>
          <w:sz w:val="20"/>
          <w:szCs w:val="20"/>
          <w:lang w:val="en-US"/>
        </w:rPr>
        <w:t xml:space="preserve"> seizures. </w:t>
      </w:r>
      <w:r w:rsidRPr="009B1965">
        <w:rPr>
          <w:rFonts w:ascii="Arial" w:hAnsi="Arial" w:cs="Arial"/>
          <w:i/>
          <w:sz w:val="20"/>
          <w:szCs w:val="20"/>
          <w:lang w:val="en-US"/>
        </w:rPr>
        <w:t xml:space="preserve">Epilepsy </w:t>
      </w:r>
      <w:proofErr w:type="spellStart"/>
      <w:r w:rsidRPr="009B1965">
        <w:rPr>
          <w:rFonts w:ascii="Arial" w:hAnsi="Arial" w:cs="Arial"/>
          <w:i/>
          <w:sz w:val="20"/>
          <w:szCs w:val="20"/>
          <w:lang w:val="en-US"/>
        </w:rPr>
        <w:t>Behav</w:t>
      </w:r>
      <w:proofErr w:type="spellEnd"/>
      <w:r w:rsidRPr="009B1965">
        <w:rPr>
          <w:rFonts w:ascii="Arial" w:hAnsi="Arial" w:cs="Arial"/>
          <w:i/>
          <w:sz w:val="20"/>
          <w:szCs w:val="20"/>
          <w:lang w:val="en-US"/>
        </w:rPr>
        <w:t xml:space="preserve"> 2015</w:t>
      </w:r>
      <w:r w:rsidRPr="009B1965">
        <w:rPr>
          <w:rFonts w:ascii="Arial" w:hAnsi="Arial" w:cs="Arial"/>
          <w:sz w:val="20"/>
          <w:szCs w:val="20"/>
          <w:lang w:val="en-US"/>
        </w:rPr>
        <w:t>; 46:60-5.</w:t>
      </w:r>
    </w:p>
    <w:p w:rsidR="009133E7" w:rsidRPr="009B1965" w:rsidRDefault="009133E7" w:rsidP="009A41C3">
      <w:pPr>
        <w:autoSpaceDE w:val="0"/>
        <w:autoSpaceDN w:val="0"/>
        <w:adjustRightInd w:val="0"/>
        <w:spacing w:afterLines="100" w:after="240" w:line="240" w:lineRule="auto"/>
        <w:jc w:val="both"/>
        <w:rPr>
          <w:rFonts w:ascii="Arial" w:hAnsi="Arial" w:cs="Arial"/>
          <w:sz w:val="20"/>
          <w:szCs w:val="20"/>
          <w:lang w:eastAsia="es-ES"/>
        </w:rPr>
      </w:pPr>
      <w:r w:rsidRPr="009B1965">
        <w:rPr>
          <w:rFonts w:ascii="Arial" w:hAnsi="Arial" w:cs="Arial"/>
          <w:sz w:val="20"/>
          <w:szCs w:val="20"/>
          <w:lang w:val="en-US" w:eastAsia="es-ES"/>
        </w:rPr>
        <w:t xml:space="preserve">16. </w:t>
      </w:r>
      <w:proofErr w:type="spellStart"/>
      <w:r w:rsidRPr="009B1965">
        <w:rPr>
          <w:rFonts w:ascii="Arial" w:hAnsi="Arial" w:cs="Arial"/>
          <w:sz w:val="20"/>
          <w:szCs w:val="20"/>
          <w:lang w:val="en-US" w:eastAsia="es-ES"/>
        </w:rPr>
        <w:t>Scévola</w:t>
      </w:r>
      <w:proofErr w:type="spellEnd"/>
      <w:r w:rsidRPr="009B1965">
        <w:rPr>
          <w:rFonts w:ascii="Arial" w:hAnsi="Arial" w:cs="Arial"/>
          <w:sz w:val="20"/>
          <w:szCs w:val="20"/>
          <w:lang w:val="en-US" w:eastAsia="es-ES"/>
        </w:rPr>
        <w:t xml:space="preserve">, L., </w:t>
      </w:r>
      <w:proofErr w:type="spellStart"/>
      <w:r w:rsidRPr="009B1965">
        <w:rPr>
          <w:rFonts w:ascii="Arial" w:hAnsi="Arial" w:cs="Arial"/>
          <w:sz w:val="20"/>
          <w:szCs w:val="20"/>
          <w:lang w:val="en-US" w:eastAsia="es-ES"/>
        </w:rPr>
        <w:t>Teitelbaum</w:t>
      </w:r>
      <w:proofErr w:type="spellEnd"/>
      <w:r w:rsidRPr="009B1965">
        <w:rPr>
          <w:rFonts w:ascii="Arial" w:hAnsi="Arial" w:cs="Arial"/>
          <w:sz w:val="20"/>
          <w:szCs w:val="20"/>
          <w:lang w:val="en-US" w:eastAsia="es-ES"/>
        </w:rPr>
        <w:t xml:space="preserve">, J., </w:t>
      </w:r>
      <w:proofErr w:type="spellStart"/>
      <w:r w:rsidRPr="009B1965">
        <w:rPr>
          <w:rFonts w:ascii="Arial" w:hAnsi="Arial" w:cs="Arial"/>
          <w:sz w:val="20"/>
          <w:szCs w:val="20"/>
          <w:lang w:val="en-US" w:eastAsia="es-ES"/>
        </w:rPr>
        <w:t>Oddo</w:t>
      </w:r>
      <w:proofErr w:type="spellEnd"/>
      <w:r w:rsidRPr="009B1965">
        <w:rPr>
          <w:rFonts w:ascii="Arial" w:hAnsi="Arial" w:cs="Arial"/>
          <w:sz w:val="20"/>
          <w:szCs w:val="20"/>
          <w:lang w:val="en-US" w:eastAsia="es-ES"/>
        </w:rPr>
        <w:t xml:space="preserve">, S., </w:t>
      </w:r>
      <w:proofErr w:type="spellStart"/>
      <w:r w:rsidRPr="009B1965">
        <w:rPr>
          <w:rFonts w:ascii="Arial" w:hAnsi="Arial" w:cs="Arial"/>
          <w:sz w:val="20"/>
          <w:szCs w:val="20"/>
          <w:lang w:val="en-US" w:eastAsia="es-ES"/>
        </w:rPr>
        <w:t>Centurión</w:t>
      </w:r>
      <w:proofErr w:type="spellEnd"/>
      <w:r w:rsidRPr="009B1965">
        <w:rPr>
          <w:rFonts w:ascii="Arial" w:hAnsi="Arial" w:cs="Arial"/>
          <w:sz w:val="20"/>
          <w:szCs w:val="20"/>
          <w:lang w:val="en-US" w:eastAsia="es-ES"/>
        </w:rPr>
        <w:t xml:space="preserve">, E., </w:t>
      </w:r>
      <w:proofErr w:type="spellStart"/>
      <w:r w:rsidRPr="009B1965">
        <w:rPr>
          <w:rFonts w:ascii="Arial" w:hAnsi="Arial" w:cs="Arial"/>
          <w:sz w:val="20"/>
          <w:szCs w:val="20"/>
          <w:lang w:val="en-US" w:eastAsia="es-ES"/>
        </w:rPr>
        <w:t>Loidl</w:t>
      </w:r>
      <w:proofErr w:type="spellEnd"/>
      <w:r w:rsidRPr="009B1965">
        <w:rPr>
          <w:rFonts w:ascii="Arial" w:hAnsi="Arial" w:cs="Arial"/>
          <w:sz w:val="20"/>
          <w:szCs w:val="20"/>
          <w:lang w:val="en-US" w:eastAsia="es-ES"/>
        </w:rPr>
        <w:t xml:space="preserve">, C., Kochen, S., et al. Psychiatric disorders in patients with psychogenic </w:t>
      </w:r>
      <w:proofErr w:type="spellStart"/>
      <w:r w:rsidRPr="009B1965">
        <w:rPr>
          <w:rFonts w:ascii="Arial" w:hAnsi="Arial" w:cs="Arial"/>
          <w:sz w:val="20"/>
          <w:szCs w:val="20"/>
          <w:lang w:val="en-US" w:eastAsia="es-ES"/>
        </w:rPr>
        <w:t>nonepileptic</w:t>
      </w:r>
      <w:proofErr w:type="spellEnd"/>
      <w:r w:rsidRPr="009B1965">
        <w:rPr>
          <w:rFonts w:ascii="Arial" w:hAnsi="Arial" w:cs="Arial"/>
          <w:sz w:val="20"/>
          <w:szCs w:val="20"/>
          <w:lang w:val="en-US" w:eastAsia="es-ES"/>
        </w:rPr>
        <w:t xml:space="preserve"> seizures and drug-resistant epilepsy: A study of an Argentine population. </w:t>
      </w:r>
      <w:proofErr w:type="spellStart"/>
      <w:r w:rsidRPr="009B1965">
        <w:rPr>
          <w:rFonts w:ascii="Arial" w:hAnsi="Arial" w:cs="Arial"/>
          <w:i/>
          <w:sz w:val="20"/>
          <w:szCs w:val="20"/>
          <w:lang w:eastAsia="es-ES"/>
        </w:rPr>
        <w:t>Epilepsy</w:t>
      </w:r>
      <w:proofErr w:type="spellEnd"/>
      <w:r w:rsidRPr="009B1965">
        <w:rPr>
          <w:rFonts w:ascii="Arial" w:hAnsi="Arial" w:cs="Arial"/>
          <w:i/>
          <w:sz w:val="20"/>
          <w:szCs w:val="20"/>
          <w:lang w:eastAsia="es-ES"/>
        </w:rPr>
        <w:t xml:space="preserve"> &amp; </w:t>
      </w:r>
      <w:proofErr w:type="spellStart"/>
      <w:r w:rsidRPr="009B1965">
        <w:rPr>
          <w:rFonts w:ascii="Arial" w:hAnsi="Arial" w:cs="Arial"/>
          <w:i/>
          <w:sz w:val="20"/>
          <w:szCs w:val="20"/>
          <w:lang w:eastAsia="es-ES"/>
        </w:rPr>
        <w:t>Behavior</w:t>
      </w:r>
      <w:proofErr w:type="spellEnd"/>
      <w:r w:rsidRPr="009B1965">
        <w:rPr>
          <w:rFonts w:ascii="Arial" w:hAnsi="Arial" w:cs="Arial"/>
          <w:i/>
          <w:sz w:val="20"/>
          <w:szCs w:val="20"/>
          <w:lang w:eastAsia="es-ES"/>
        </w:rPr>
        <w:t xml:space="preserve"> 2013</w:t>
      </w:r>
      <w:r w:rsidRPr="009B1965">
        <w:rPr>
          <w:rFonts w:ascii="Arial" w:hAnsi="Arial" w:cs="Arial"/>
          <w:sz w:val="20"/>
          <w:szCs w:val="20"/>
          <w:lang w:eastAsia="es-ES"/>
        </w:rPr>
        <w:t>; 29, 155-160.</w:t>
      </w:r>
    </w:p>
    <w:p w:rsidR="009133E7" w:rsidRPr="009B1965" w:rsidRDefault="009133E7" w:rsidP="009A41C3">
      <w:pPr>
        <w:autoSpaceDE w:val="0"/>
        <w:autoSpaceDN w:val="0"/>
        <w:adjustRightInd w:val="0"/>
        <w:spacing w:afterLines="100" w:after="240" w:line="240" w:lineRule="auto"/>
        <w:jc w:val="both"/>
        <w:rPr>
          <w:rFonts w:ascii="Arial" w:hAnsi="Arial" w:cs="Arial"/>
          <w:sz w:val="20"/>
          <w:szCs w:val="20"/>
          <w:lang w:eastAsia="es-ES"/>
        </w:rPr>
      </w:pPr>
      <w:r w:rsidRPr="009B1965">
        <w:rPr>
          <w:rFonts w:ascii="Arial" w:hAnsi="Arial" w:cs="Arial"/>
          <w:color w:val="000000"/>
          <w:sz w:val="20"/>
          <w:szCs w:val="20"/>
          <w:lang w:eastAsia="es-ES"/>
        </w:rPr>
        <w:t xml:space="preserve">17. González M, Ibáñez I, García L, Quintero V. </w:t>
      </w:r>
      <w:r w:rsidRPr="009B1965">
        <w:rPr>
          <w:rFonts w:ascii="Arial" w:hAnsi="Arial" w:cs="Arial"/>
          <w:bCs/>
          <w:color w:val="000000"/>
          <w:sz w:val="20"/>
          <w:szCs w:val="20"/>
          <w:lang w:eastAsia="es-ES"/>
        </w:rPr>
        <w:t>El “cuestionario de preocupación y ansiedad” como Instrumento de cribado para el trastorno de ansiedad generalizada: propiedades diagnósticas.</w:t>
      </w:r>
      <w:r w:rsidRPr="009B1965">
        <w:rPr>
          <w:rFonts w:ascii="Arial" w:hAnsi="Arial" w:cs="Arial"/>
          <w:i/>
          <w:iCs/>
          <w:color w:val="000000"/>
          <w:sz w:val="20"/>
          <w:szCs w:val="20"/>
          <w:lang w:eastAsia="es-ES"/>
        </w:rPr>
        <w:t xml:space="preserve"> </w:t>
      </w:r>
      <w:proofErr w:type="spellStart"/>
      <w:r w:rsidRPr="009B1965">
        <w:rPr>
          <w:rFonts w:ascii="Arial" w:hAnsi="Arial" w:cs="Arial"/>
          <w:i/>
          <w:iCs/>
          <w:color w:val="000000"/>
          <w:sz w:val="20"/>
          <w:szCs w:val="20"/>
          <w:lang w:eastAsia="es-ES"/>
        </w:rPr>
        <w:t>Behavioral</w:t>
      </w:r>
      <w:proofErr w:type="spellEnd"/>
      <w:r w:rsidRPr="009B1965">
        <w:rPr>
          <w:rFonts w:ascii="Arial" w:hAnsi="Arial" w:cs="Arial"/>
          <w:i/>
          <w:iCs/>
          <w:color w:val="000000"/>
          <w:sz w:val="20"/>
          <w:szCs w:val="20"/>
          <w:lang w:eastAsia="es-ES"/>
        </w:rPr>
        <w:t xml:space="preserve"> </w:t>
      </w:r>
      <w:proofErr w:type="spellStart"/>
      <w:r w:rsidRPr="009B1965">
        <w:rPr>
          <w:rFonts w:ascii="Arial" w:hAnsi="Arial" w:cs="Arial"/>
          <w:i/>
          <w:iCs/>
          <w:color w:val="000000"/>
          <w:sz w:val="20"/>
          <w:szCs w:val="20"/>
          <w:lang w:eastAsia="es-ES"/>
        </w:rPr>
        <w:t>Psychology</w:t>
      </w:r>
      <w:proofErr w:type="spellEnd"/>
      <w:r w:rsidRPr="009B1965">
        <w:rPr>
          <w:rFonts w:ascii="Arial" w:hAnsi="Arial" w:cs="Arial"/>
          <w:i/>
          <w:iCs/>
          <w:color w:val="000000"/>
          <w:sz w:val="20"/>
          <w:szCs w:val="20"/>
          <w:lang w:eastAsia="es-ES"/>
        </w:rPr>
        <w:t xml:space="preserve"> / Psicología Conductual 2018; 26(1):5-22.</w:t>
      </w:r>
    </w:p>
    <w:p w:rsidR="009133E7" w:rsidRPr="009B1965" w:rsidRDefault="009133E7" w:rsidP="009A41C3">
      <w:pPr>
        <w:spacing w:afterLines="100" w:after="240" w:line="240" w:lineRule="auto"/>
        <w:jc w:val="both"/>
        <w:rPr>
          <w:rFonts w:ascii="Arial" w:hAnsi="Arial" w:cs="Arial"/>
          <w:sz w:val="20"/>
          <w:szCs w:val="20"/>
          <w:lang w:val="en-US"/>
        </w:rPr>
      </w:pPr>
      <w:r w:rsidRPr="009B1965">
        <w:rPr>
          <w:rFonts w:ascii="Arial" w:hAnsi="Arial" w:cs="Arial"/>
          <w:sz w:val="20"/>
          <w:szCs w:val="20"/>
        </w:rPr>
        <w:t xml:space="preserve">18. </w:t>
      </w:r>
      <w:proofErr w:type="spellStart"/>
      <w:r w:rsidRPr="009B1965">
        <w:rPr>
          <w:rFonts w:ascii="Arial" w:hAnsi="Arial" w:cs="Arial"/>
          <w:sz w:val="20"/>
          <w:szCs w:val="20"/>
        </w:rPr>
        <w:t>Yalçın</w:t>
      </w:r>
      <w:proofErr w:type="spellEnd"/>
      <w:r w:rsidRPr="009B1965">
        <w:rPr>
          <w:rFonts w:ascii="Arial" w:hAnsi="Arial" w:cs="Arial"/>
          <w:sz w:val="20"/>
          <w:szCs w:val="20"/>
        </w:rPr>
        <w:t xml:space="preserve"> M, </w:t>
      </w:r>
      <w:proofErr w:type="spellStart"/>
      <w:r w:rsidRPr="009B1965">
        <w:rPr>
          <w:rFonts w:ascii="Arial" w:hAnsi="Arial" w:cs="Arial"/>
          <w:sz w:val="20"/>
          <w:szCs w:val="20"/>
        </w:rPr>
        <w:t>Tellioğlu</w:t>
      </w:r>
      <w:proofErr w:type="spellEnd"/>
      <w:r w:rsidRPr="009B1965">
        <w:rPr>
          <w:rFonts w:ascii="Arial" w:hAnsi="Arial" w:cs="Arial"/>
          <w:sz w:val="20"/>
          <w:szCs w:val="20"/>
        </w:rPr>
        <w:t xml:space="preserve"> E, </w:t>
      </w:r>
      <w:proofErr w:type="spellStart"/>
      <w:r w:rsidRPr="009B1965">
        <w:rPr>
          <w:rFonts w:ascii="Arial" w:hAnsi="Arial" w:cs="Arial"/>
          <w:sz w:val="20"/>
          <w:szCs w:val="20"/>
        </w:rPr>
        <w:t>Gündüz</w:t>
      </w:r>
      <w:proofErr w:type="spellEnd"/>
      <w:r w:rsidRPr="009B1965">
        <w:rPr>
          <w:rFonts w:ascii="Arial" w:hAnsi="Arial" w:cs="Arial"/>
          <w:sz w:val="20"/>
          <w:szCs w:val="20"/>
        </w:rPr>
        <w:t xml:space="preserve"> A, </w:t>
      </w:r>
      <w:proofErr w:type="spellStart"/>
      <w:r w:rsidRPr="009B1965">
        <w:rPr>
          <w:rFonts w:ascii="Arial" w:hAnsi="Arial" w:cs="Arial"/>
          <w:sz w:val="20"/>
          <w:szCs w:val="20"/>
        </w:rPr>
        <w:t>Ö</w:t>
      </w:r>
      <w:r w:rsidR="00AD226C" w:rsidRPr="009B1965">
        <w:rPr>
          <w:rFonts w:ascii="Arial" w:hAnsi="Arial" w:cs="Arial"/>
          <w:sz w:val="20"/>
          <w:szCs w:val="20"/>
        </w:rPr>
        <w:t>zmen</w:t>
      </w:r>
      <w:proofErr w:type="spellEnd"/>
      <w:r w:rsidR="00AD226C" w:rsidRPr="009B1965">
        <w:rPr>
          <w:rFonts w:ascii="Arial" w:hAnsi="Arial" w:cs="Arial"/>
          <w:sz w:val="20"/>
          <w:szCs w:val="20"/>
        </w:rPr>
        <w:t xml:space="preserve"> M, </w:t>
      </w:r>
      <w:proofErr w:type="spellStart"/>
      <w:r w:rsidR="00AD226C" w:rsidRPr="009B1965">
        <w:rPr>
          <w:rFonts w:ascii="Arial" w:hAnsi="Arial" w:cs="Arial"/>
          <w:sz w:val="20"/>
          <w:szCs w:val="20"/>
        </w:rPr>
        <w:t>Yeni</w:t>
      </w:r>
      <w:proofErr w:type="spellEnd"/>
      <w:r w:rsidR="00AD226C" w:rsidRPr="009B1965">
        <w:rPr>
          <w:rFonts w:ascii="Arial" w:hAnsi="Arial" w:cs="Arial"/>
          <w:sz w:val="20"/>
          <w:szCs w:val="20"/>
        </w:rPr>
        <w:t xml:space="preserve"> N, </w:t>
      </w:r>
      <w:proofErr w:type="spellStart"/>
      <w:r w:rsidR="00AD226C" w:rsidRPr="009B1965">
        <w:rPr>
          <w:rFonts w:ascii="Arial" w:hAnsi="Arial" w:cs="Arial"/>
          <w:sz w:val="20"/>
          <w:szCs w:val="20"/>
        </w:rPr>
        <w:t>Özkara</w:t>
      </w:r>
      <w:proofErr w:type="spellEnd"/>
      <w:r w:rsidR="00AD226C" w:rsidRPr="009B1965">
        <w:rPr>
          <w:rFonts w:ascii="Arial" w:hAnsi="Arial" w:cs="Arial"/>
          <w:sz w:val="20"/>
          <w:szCs w:val="20"/>
        </w:rPr>
        <w:t xml:space="preserve"> Ç, et al</w:t>
      </w:r>
      <w:r w:rsidRPr="009B1965">
        <w:rPr>
          <w:rFonts w:ascii="Arial" w:hAnsi="Arial" w:cs="Arial"/>
          <w:sz w:val="20"/>
          <w:szCs w:val="20"/>
        </w:rPr>
        <w:t xml:space="preserve">. </w:t>
      </w:r>
      <w:r w:rsidRPr="009B1965">
        <w:rPr>
          <w:rFonts w:ascii="Arial" w:hAnsi="Arial" w:cs="Arial"/>
          <w:sz w:val="20"/>
          <w:szCs w:val="20"/>
          <w:lang w:val="en-US"/>
        </w:rPr>
        <w:t xml:space="preserve">Orienting reaction may help recognition of patients with psychogenic </w:t>
      </w:r>
      <w:proofErr w:type="spellStart"/>
      <w:r w:rsidRPr="009B1965">
        <w:rPr>
          <w:rFonts w:ascii="Arial" w:hAnsi="Arial" w:cs="Arial"/>
          <w:sz w:val="20"/>
          <w:szCs w:val="20"/>
          <w:lang w:val="en-US"/>
        </w:rPr>
        <w:t>nonepileptic</w:t>
      </w:r>
      <w:proofErr w:type="spellEnd"/>
      <w:r w:rsidRPr="009B1965">
        <w:rPr>
          <w:rFonts w:ascii="Arial" w:hAnsi="Arial" w:cs="Arial"/>
          <w:sz w:val="20"/>
          <w:szCs w:val="20"/>
          <w:lang w:val="en-US"/>
        </w:rPr>
        <w:t xml:space="preserve"> seizures. </w:t>
      </w:r>
      <w:proofErr w:type="spellStart"/>
      <w:r w:rsidRPr="009B1965">
        <w:rPr>
          <w:rFonts w:ascii="Arial" w:hAnsi="Arial" w:cs="Arial"/>
          <w:i/>
          <w:sz w:val="20"/>
          <w:szCs w:val="20"/>
          <w:lang w:val="en-US"/>
        </w:rPr>
        <w:t>Neurophysiol</w:t>
      </w:r>
      <w:proofErr w:type="spellEnd"/>
      <w:r w:rsidRPr="009B1965">
        <w:rPr>
          <w:rFonts w:ascii="Arial" w:hAnsi="Arial" w:cs="Arial"/>
          <w:i/>
          <w:sz w:val="20"/>
          <w:szCs w:val="20"/>
          <w:lang w:val="en-US"/>
        </w:rPr>
        <w:t xml:space="preserve"> </w:t>
      </w:r>
      <w:proofErr w:type="spellStart"/>
      <w:r w:rsidRPr="009B1965">
        <w:rPr>
          <w:rFonts w:ascii="Arial" w:hAnsi="Arial" w:cs="Arial"/>
          <w:i/>
          <w:sz w:val="20"/>
          <w:szCs w:val="20"/>
          <w:lang w:val="en-US"/>
        </w:rPr>
        <w:t>Clin</w:t>
      </w:r>
      <w:proofErr w:type="spellEnd"/>
      <w:r w:rsidRPr="009B1965">
        <w:rPr>
          <w:rFonts w:ascii="Arial" w:hAnsi="Arial" w:cs="Arial"/>
          <w:i/>
          <w:sz w:val="20"/>
          <w:szCs w:val="20"/>
          <w:lang w:val="en-US"/>
        </w:rPr>
        <w:t xml:space="preserve"> 2017</w:t>
      </w:r>
      <w:r w:rsidRPr="009B1965">
        <w:rPr>
          <w:rFonts w:ascii="Arial" w:hAnsi="Arial" w:cs="Arial"/>
          <w:sz w:val="20"/>
          <w:szCs w:val="20"/>
          <w:lang w:val="en-US"/>
        </w:rPr>
        <w:t xml:space="preserve">; Jun; 47(3):231-7. </w:t>
      </w:r>
      <w:proofErr w:type="spellStart"/>
      <w:proofErr w:type="gramStart"/>
      <w:r w:rsidRPr="009B1965">
        <w:rPr>
          <w:rFonts w:ascii="Arial" w:hAnsi="Arial" w:cs="Arial"/>
          <w:sz w:val="20"/>
          <w:szCs w:val="20"/>
          <w:lang w:val="en-US"/>
        </w:rPr>
        <w:t>doi</w:t>
      </w:r>
      <w:proofErr w:type="spellEnd"/>
      <w:proofErr w:type="gramEnd"/>
      <w:r w:rsidRPr="009B1965">
        <w:rPr>
          <w:rFonts w:ascii="Arial" w:hAnsi="Arial" w:cs="Arial"/>
          <w:sz w:val="20"/>
          <w:szCs w:val="20"/>
          <w:lang w:val="en-US"/>
        </w:rPr>
        <w:t xml:space="preserve">: 10.1016/j.neucli.2017.02.005. </w:t>
      </w:r>
      <w:proofErr w:type="spellStart"/>
      <w:r w:rsidRPr="009B1965">
        <w:rPr>
          <w:rFonts w:ascii="Arial" w:hAnsi="Arial" w:cs="Arial"/>
          <w:sz w:val="20"/>
          <w:szCs w:val="20"/>
          <w:lang w:val="en-US"/>
        </w:rPr>
        <w:t>Epub</w:t>
      </w:r>
      <w:proofErr w:type="spellEnd"/>
      <w:r w:rsidRPr="009B1965">
        <w:rPr>
          <w:rFonts w:ascii="Arial" w:hAnsi="Arial" w:cs="Arial"/>
          <w:sz w:val="20"/>
          <w:szCs w:val="20"/>
          <w:lang w:val="en-US"/>
        </w:rPr>
        <w:t xml:space="preserve"> 2017 Mar 15.</w:t>
      </w:r>
    </w:p>
    <w:p w:rsidR="009133E7" w:rsidRPr="009B1965" w:rsidRDefault="009133E7" w:rsidP="009A41C3">
      <w:pPr>
        <w:tabs>
          <w:tab w:val="left" w:pos="916"/>
          <w:tab w:val="left" w:pos="1832"/>
          <w:tab w:val="left" w:pos="2748"/>
          <w:tab w:val="left" w:pos="3664"/>
          <w:tab w:val="left" w:pos="4580"/>
          <w:tab w:val="left" w:pos="5496"/>
          <w:tab w:val="left" w:pos="6412"/>
          <w:tab w:val="left" w:pos="7328"/>
          <w:tab w:val="left" w:pos="7938"/>
          <w:tab w:val="left" w:pos="9160"/>
          <w:tab w:val="left" w:pos="10076"/>
          <w:tab w:val="left" w:pos="10992"/>
          <w:tab w:val="left" w:pos="11908"/>
          <w:tab w:val="left" w:pos="12824"/>
          <w:tab w:val="left" w:pos="13740"/>
          <w:tab w:val="left" w:pos="14656"/>
        </w:tabs>
        <w:spacing w:afterLines="100" w:after="240" w:line="240" w:lineRule="auto"/>
        <w:contextualSpacing/>
        <w:jc w:val="both"/>
        <w:rPr>
          <w:rFonts w:ascii="Arial" w:eastAsia="Times New Roman" w:hAnsi="Arial" w:cs="Arial"/>
          <w:sz w:val="20"/>
          <w:szCs w:val="20"/>
          <w:lang w:val="en-US" w:eastAsia="es-ES"/>
        </w:rPr>
      </w:pPr>
      <w:r w:rsidRPr="009B1965">
        <w:rPr>
          <w:rFonts w:ascii="Arial" w:hAnsi="Arial" w:cs="Arial"/>
          <w:sz w:val="20"/>
          <w:szCs w:val="20"/>
          <w:lang w:val="en-US"/>
        </w:rPr>
        <w:t xml:space="preserve">19. </w:t>
      </w:r>
      <w:proofErr w:type="spellStart"/>
      <w:r w:rsidRPr="009B1965">
        <w:rPr>
          <w:rFonts w:ascii="Arial" w:hAnsi="Arial" w:cs="Arial"/>
          <w:sz w:val="20"/>
          <w:szCs w:val="20"/>
          <w:lang w:val="en-US"/>
        </w:rPr>
        <w:t>Ribot</w:t>
      </w:r>
      <w:proofErr w:type="spellEnd"/>
      <w:r w:rsidRPr="009B1965">
        <w:rPr>
          <w:rFonts w:ascii="Arial" w:hAnsi="Arial" w:cs="Arial"/>
          <w:sz w:val="20"/>
          <w:szCs w:val="20"/>
          <w:lang w:val="en-US"/>
        </w:rPr>
        <w:t xml:space="preserve"> R, </w:t>
      </w:r>
      <w:proofErr w:type="spellStart"/>
      <w:r w:rsidRPr="009B1965">
        <w:rPr>
          <w:rFonts w:ascii="Arial" w:hAnsi="Arial" w:cs="Arial"/>
          <w:sz w:val="20"/>
          <w:szCs w:val="20"/>
          <w:lang w:val="en-US"/>
        </w:rPr>
        <w:t>Ouyang</w:t>
      </w:r>
      <w:proofErr w:type="spellEnd"/>
      <w:r w:rsidRPr="009B1965">
        <w:rPr>
          <w:rFonts w:ascii="Arial" w:hAnsi="Arial" w:cs="Arial"/>
          <w:sz w:val="20"/>
          <w:szCs w:val="20"/>
          <w:lang w:val="en-US"/>
        </w:rPr>
        <w:t xml:space="preserve"> B, </w:t>
      </w:r>
      <w:proofErr w:type="spellStart"/>
      <w:r w:rsidRPr="009B1965">
        <w:rPr>
          <w:rFonts w:ascii="Arial" w:hAnsi="Arial" w:cs="Arial"/>
          <w:sz w:val="20"/>
          <w:szCs w:val="20"/>
          <w:lang w:val="en-US"/>
        </w:rPr>
        <w:t>Kanner</w:t>
      </w:r>
      <w:proofErr w:type="spellEnd"/>
      <w:r w:rsidRPr="009B1965">
        <w:rPr>
          <w:rFonts w:ascii="Arial" w:hAnsi="Arial" w:cs="Arial"/>
          <w:sz w:val="20"/>
          <w:szCs w:val="20"/>
          <w:lang w:val="en-US"/>
        </w:rPr>
        <w:t xml:space="preserve"> AM. The impact of antidepressants on seizure frequency and depressive and anxiety disorders of patients with epilepsy: Is it worth investigating? .</w:t>
      </w:r>
      <w:r w:rsidRPr="009B1965">
        <w:rPr>
          <w:rFonts w:ascii="Arial" w:hAnsi="Arial" w:cs="Arial"/>
          <w:i/>
          <w:sz w:val="20"/>
          <w:szCs w:val="20"/>
          <w:lang w:val="en-US"/>
        </w:rPr>
        <w:t xml:space="preserve">Epilepsy </w:t>
      </w:r>
      <w:proofErr w:type="spellStart"/>
      <w:r w:rsidRPr="009B1965">
        <w:rPr>
          <w:rFonts w:ascii="Arial" w:hAnsi="Arial" w:cs="Arial"/>
          <w:i/>
          <w:sz w:val="20"/>
          <w:szCs w:val="20"/>
          <w:lang w:val="en-US"/>
        </w:rPr>
        <w:t>Behav</w:t>
      </w:r>
      <w:proofErr w:type="spellEnd"/>
      <w:r w:rsidRPr="009B1965">
        <w:rPr>
          <w:rFonts w:ascii="Arial" w:hAnsi="Arial" w:cs="Arial"/>
          <w:i/>
          <w:sz w:val="20"/>
          <w:szCs w:val="20"/>
          <w:lang w:val="en-US"/>
        </w:rPr>
        <w:t xml:space="preserve"> 2017;</w:t>
      </w:r>
      <w:r w:rsidRPr="009B1965">
        <w:rPr>
          <w:rFonts w:ascii="Arial" w:hAnsi="Arial" w:cs="Arial"/>
          <w:sz w:val="20"/>
          <w:szCs w:val="20"/>
          <w:lang w:val="en-US"/>
        </w:rPr>
        <w:t xml:space="preserve"> May; 70(</w:t>
      </w:r>
      <w:proofErr w:type="spellStart"/>
      <w:r w:rsidRPr="009B1965">
        <w:rPr>
          <w:rFonts w:ascii="Arial" w:hAnsi="Arial" w:cs="Arial"/>
          <w:sz w:val="20"/>
          <w:szCs w:val="20"/>
          <w:lang w:val="en-US"/>
        </w:rPr>
        <w:t>Pt</w:t>
      </w:r>
      <w:proofErr w:type="spellEnd"/>
      <w:r w:rsidRPr="009B1965">
        <w:rPr>
          <w:rFonts w:ascii="Arial" w:hAnsi="Arial" w:cs="Arial"/>
          <w:sz w:val="20"/>
          <w:szCs w:val="20"/>
          <w:lang w:val="en-US"/>
        </w:rPr>
        <w:t xml:space="preserve"> A):5-9. </w:t>
      </w:r>
      <w:proofErr w:type="spellStart"/>
      <w:proofErr w:type="gramStart"/>
      <w:r w:rsidRPr="009B1965">
        <w:rPr>
          <w:rFonts w:ascii="Arial" w:hAnsi="Arial" w:cs="Arial"/>
          <w:sz w:val="20"/>
          <w:szCs w:val="20"/>
          <w:lang w:val="en-US"/>
        </w:rPr>
        <w:t>doi</w:t>
      </w:r>
      <w:proofErr w:type="spellEnd"/>
      <w:proofErr w:type="gramEnd"/>
      <w:r w:rsidRPr="009B1965">
        <w:rPr>
          <w:rFonts w:ascii="Arial" w:hAnsi="Arial" w:cs="Arial"/>
          <w:sz w:val="20"/>
          <w:szCs w:val="20"/>
          <w:lang w:val="en-US"/>
        </w:rPr>
        <w:t xml:space="preserve">: 10.1016/j.yebeh.2017.02.032. </w:t>
      </w:r>
      <w:proofErr w:type="spellStart"/>
      <w:r w:rsidRPr="009B1965">
        <w:rPr>
          <w:rFonts w:ascii="Arial" w:hAnsi="Arial" w:cs="Arial"/>
          <w:sz w:val="20"/>
          <w:szCs w:val="20"/>
          <w:lang w:val="en-US"/>
        </w:rPr>
        <w:t>Epub</w:t>
      </w:r>
      <w:proofErr w:type="spellEnd"/>
      <w:r w:rsidRPr="009B1965">
        <w:rPr>
          <w:rFonts w:ascii="Arial" w:hAnsi="Arial" w:cs="Arial"/>
          <w:sz w:val="20"/>
          <w:szCs w:val="20"/>
          <w:lang w:val="en-US"/>
        </w:rPr>
        <w:t xml:space="preserve"> 2017 Apr 10.</w:t>
      </w:r>
    </w:p>
    <w:p w:rsidR="009133E7" w:rsidRPr="009B1965" w:rsidRDefault="009133E7" w:rsidP="009A41C3">
      <w:pPr>
        <w:tabs>
          <w:tab w:val="left" w:pos="916"/>
          <w:tab w:val="left" w:pos="1832"/>
          <w:tab w:val="left" w:pos="2748"/>
          <w:tab w:val="left" w:pos="3664"/>
          <w:tab w:val="left" w:pos="4580"/>
          <w:tab w:val="left" w:pos="5496"/>
          <w:tab w:val="left" w:pos="6412"/>
          <w:tab w:val="left" w:pos="7328"/>
          <w:tab w:val="left" w:pos="7938"/>
          <w:tab w:val="left" w:pos="9160"/>
          <w:tab w:val="left" w:pos="10076"/>
          <w:tab w:val="left" w:pos="10992"/>
          <w:tab w:val="left" w:pos="11908"/>
          <w:tab w:val="left" w:pos="12824"/>
          <w:tab w:val="left" w:pos="13740"/>
          <w:tab w:val="left" w:pos="14656"/>
        </w:tabs>
        <w:spacing w:afterLines="100" w:after="240" w:line="240" w:lineRule="auto"/>
        <w:contextualSpacing/>
        <w:jc w:val="both"/>
        <w:rPr>
          <w:rFonts w:ascii="Arial" w:eastAsia="Times New Roman" w:hAnsi="Arial" w:cs="Arial"/>
          <w:sz w:val="20"/>
          <w:szCs w:val="20"/>
          <w:lang w:val="en-US" w:eastAsia="es-ES"/>
        </w:rPr>
      </w:pPr>
    </w:p>
    <w:p w:rsidR="009133E7" w:rsidRPr="009B1965" w:rsidRDefault="009133E7" w:rsidP="009A41C3">
      <w:pPr>
        <w:autoSpaceDE w:val="0"/>
        <w:autoSpaceDN w:val="0"/>
        <w:adjustRightInd w:val="0"/>
        <w:spacing w:afterLines="100" w:after="240" w:line="240" w:lineRule="auto"/>
        <w:jc w:val="both"/>
        <w:rPr>
          <w:rFonts w:ascii="Arial" w:hAnsi="Arial" w:cs="Arial"/>
          <w:sz w:val="20"/>
          <w:szCs w:val="20"/>
          <w:lang w:eastAsia="es-ES"/>
        </w:rPr>
      </w:pPr>
      <w:r w:rsidRPr="009B1965">
        <w:rPr>
          <w:rFonts w:ascii="Arial" w:hAnsi="Arial" w:cs="Arial"/>
          <w:sz w:val="20"/>
          <w:szCs w:val="20"/>
          <w:lang w:val="en-US"/>
        </w:rPr>
        <w:t xml:space="preserve">20. </w:t>
      </w:r>
      <w:proofErr w:type="spellStart"/>
      <w:r w:rsidRPr="009B1965">
        <w:rPr>
          <w:rFonts w:ascii="Arial" w:hAnsi="Arial" w:cs="Arial"/>
          <w:sz w:val="20"/>
          <w:szCs w:val="20"/>
          <w:lang w:val="en-US"/>
        </w:rPr>
        <w:t>Beghi</w:t>
      </w:r>
      <w:proofErr w:type="spellEnd"/>
      <w:r w:rsidRPr="009B1965">
        <w:rPr>
          <w:rFonts w:ascii="Arial" w:hAnsi="Arial" w:cs="Arial"/>
          <w:sz w:val="20"/>
          <w:szCs w:val="20"/>
          <w:lang w:val="en-US"/>
        </w:rPr>
        <w:t xml:space="preserve"> M, </w:t>
      </w:r>
      <w:proofErr w:type="spellStart"/>
      <w:r w:rsidRPr="009B1965">
        <w:rPr>
          <w:rFonts w:ascii="Arial" w:hAnsi="Arial" w:cs="Arial"/>
          <w:sz w:val="20"/>
          <w:szCs w:val="20"/>
          <w:lang w:val="en-US"/>
        </w:rPr>
        <w:t>BeffaNegrini</w:t>
      </w:r>
      <w:proofErr w:type="spellEnd"/>
      <w:r w:rsidRPr="009B1965">
        <w:rPr>
          <w:rFonts w:ascii="Arial" w:hAnsi="Arial" w:cs="Arial"/>
          <w:sz w:val="20"/>
          <w:szCs w:val="20"/>
          <w:lang w:val="en-US"/>
        </w:rPr>
        <w:t xml:space="preserve"> P, </w:t>
      </w:r>
      <w:proofErr w:type="spellStart"/>
      <w:r w:rsidRPr="009B1965">
        <w:rPr>
          <w:rFonts w:ascii="Arial" w:hAnsi="Arial" w:cs="Arial"/>
          <w:sz w:val="20"/>
          <w:szCs w:val="20"/>
          <w:lang w:val="en-US"/>
        </w:rPr>
        <w:t>Perin</w:t>
      </w:r>
      <w:proofErr w:type="spellEnd"/>
      <w:r w:rsidRPr="009B1965">
        <w:rPr>
          <w:rFonts w:ascii="Arial" w:hAnsi="Arial" w:cs="Arial"/>
          <w:sz w:val="20"/>
          <w:szCs w:val="20"/>
          <w:lang w:val="en-US"/>
        </w:rPr>
        <w:t xml:space="preserve"> C, </w:t>
      </w:r>
      <w:proofErr w:type="spellStart"/>
      <w:r w:rsidRPr="009B1965">
        <w:rPr>
          <w:rFonts w:ascii="Arial" w:hAnsi="Arial" w:cs="Arial"/>
          <w:sz w:val="20"/>
          <w:szCs w:val="20"/>
          <w:lang w:val="en-US"/>
        </w:rPr>
        <w:t>Peroni</w:t>
      </w:r>
      <w:proofErr w:type="spellEnd"/>
      <w:r w:rsidRPr="009B1965">
        <w:rPr>
          <w:rFonts w:ascii="Arial" w:hAnsi="Arial" w:cs="Arial"/>
          <w:sz w:val="20"/>
          <w:szCs w:val="20"/>
          <w:lang w:val="en-US"/>
        </w:rPr>
        <w:t xml:space="preserve"> C, </w:t>
      </w:r>
      <w:proofErr w:type="spellStart"/>
      <w:r w:rsidRPr="009B1965">
        <w:rPr>
          <w:rFonts w:ascii="Arial" w:hAnsi="Arial" w:cs="Arial"/>
          <w:sz w:val="20"/>
          <w:szCs w:val="20"/>
          <w:lang w:val="en-US"/>
        </w:rPr>
        <w:t>Magaudda</w:t>
      </w:r>
      <w:proofErr w:type="spellEnd"/>
      <w:r w:rsidRPr="009B1965">
        <w:rPr>
          <w:rFonts w:ascii="Arial" w:hAnsi="Arial" w:cs="Arial"/>
          <w:sz w:val="20"/>
          <w:szCs w:val="20"/>
          <w:lang w:val="en-US"/>
        </w:rPr>
        <w:t xml:space="preserve"> A, </w:t>
      </w:r>
      <w:proofErr w:type="spellStart"/>
      <w:proofErr w:type="gramStart"/>
      <w:r w:rsidRPr="009B1965">
        <w:rPr>
          <w:rFonts w:ascii="Arial" w:hAnsi="Arial" w:cs="Arial"/>
          <w:sz w:val="20"/>
          <w:szCs w:val="20"/>
          <w:lang w:val="en-US"/>
        </w:rPr>
        <w:t>Cerri</w:t>
      </w:r>
      <w:proofErr w:type="spellEnd"/>
      <w:proofErr w:type="gramEnd"/>
      <w:r w:rsidRPr="009B1965">
        <w:rPr>
          <w:rFonts w:ascii="Arial" w:hAnsi="Arial" w:cs="Arial"/>
          <w:sz w:val="20"/>
          <w:szCs w:val="20"/>
          <w:lang w:val="en-US"/>
        </w:rPr>
        <w:t xml:space="preserve"> C, et al. Psychogenic non epileptic seizures: so called psychiatric comorbidity and </w:t>
      </w:r>
      <w:proofErr w:type="spellStart"/>
      <w:r w:rsidRPr="009B1965">
        <w:rPr>
          <w:rFonts w:ascii="Arial" w:hAnsi="Arial" w:cs="Arial"/>
          <w:sz w:val="20"/>
          <w:szCs w:val="20"/>
          <w:lang w:val="en-US"/>
        </w:rPr>
        <w:t>undelying</w:t>
      </w:r>
      <w:proofErr w:type="spellEnd"/>
      <w:r w:rsidRPr="009B1965">
        <w:rPr>
          <w:rFonts w:ascii="Arial" w:hAnsi="Arial" w:cs="Arial"/>
          <w:sz w:val="20"/>
          <w:szCs w:val="20"/>
          <w:lang w:val="en-US"/>
        </w:rPr>
        <w:t xml:space="preserve"> defense mechanism. </w:t>
      </w:r>
      <w:proofErr w:type="spellStart"/>
      <w:r w:rsidRPr="009B1965">
        <w:rPr>
          <w:rFonts w:ascii="Arial" w:hAnsi="Arial" w:cs="Arial"/>
          <w:i/>
          <w:sz w:val="20"/>
          <w:szCs w:val="20"/>
        </w:rPr>
        <w:t>Neuropsychiatric</w:t>
      </w:r>
      <w:proofErr w:type="spellEnd"/>
      <w:r w:rsidRPr="009B1965">
        <w:rPr>
          <w:rFonts w:ascii="Arial" w:hAnsi="Arial" w:cs="Arial"/>
          <w:i/>
          <w:sz w:val="20"/>
          <w:szCs w:val="20"/>
        </w:rPr>
        <w:t xml:space="preserve"> </w:t>
      </w:r>
      <w:proofErr w:type="spellStart"/>
      <w:r w:rsidRPr="009B1965">
        <w:rPr>
          <w:rFonts w:ascii="Arial" w:hAnsi="Arial" w:cs="Arial"/>
          <w:i/>
          <w:sz w:val="20"/>
          <w:szCs w:val="20"/>
        </w:rPr>
        <w:t>disease</w:t>
      </w:r>
      <w:proofErr w:type="spellEnd"/>
      <w:r w:rsidRPr="009B1965">
        <w:rPr>
          <w:rFonts w:ascii="Arial" w:hAnsi="Arial" w:cs="Arial"/>
          <w:i/>
          <w:sz w:val="20"/>
          <w:szCs w:val="20"/>
        </w:rPr>
        <w:t xml:space="preserve"> and </w:t>
      </w:r>
      <w:proofErr w:type="spellStart"/>
      <w:r w:rsidRPr="009B1965">
        <w:rPr>
          <w:rFonts w:ascii="Arial" w:hAnsi="Arial" w:cs="Arial"/>
          <w:i/>
          <w:sz w:val="20"/>
          <w:szCs w:val="20"/>
        </w:rPr>
        <w:t>treatment</w:t>
      </w:r>
      <w:proofErr w:type="spellEnd"/>
      <w:r w:rsidRPr="009B1965">
        <w:rPr>
          <w:rFonts w:ascii="Arial" w:hAnsi="Arial" w:cs="Arial"/>
          <w:i/>
          <w:sz w:val="20"/>
          <w:szCs w:val="20"/>
        </w:rPr>
        <w:t xml:space="preserve"> 2015</w:t>
      </w:r>
      <w:r w:rsidRPr="009B1965">
        <w:rPr>
          <w:rFonts w:ascii="Arial" w:hAnsi="Arial" w:cs="Arial"/>
          <w:sz w:val="20"/>
          <w:szCs w:val="20"/>
        </w:rPr>
        <w:t>; 11: 2519-27.</w:t>
      </w:r>
    </w:p>
    <w:p w:rsidR="009133E7" w:rsidRPr="009B1965" w:rsidRDefault="009133E7" w:rsidP="009A41C3">
      <w:pPr>
        <w:tabs>
          <w:tab w:val="left" w:pos="284"/>
          <w:tab w:val="left" w:pos="426"/>
        </w:tabs>
        <w:adjustRightInd w:val="0"/>
        <w:snapToGrid w:val="0"/>
        <w:spacing w:after="0" w:line="260" w:lineRule="atLeast"/>
        <w:jc w:val="both"/>
        <w:outlineLvl w:val="0"/>
        <w:rPr>
          <w:rFonts w:ascii="Arial" w:eastAsia="Times New Roman" w:hAnsi="Arial" w:cs="Arial"/>
          <w:snapToGrid w:val="0"/>
          <w:color w:val="000000"/>
          <w:sz w:val="20"/>
          <w:szCs w:val="20"/>
          <w:lang w:eastAsia="de-DE" w:bidi="en-US"/>
        </w:rPr>
      </w:pPr>
      <w:r w:rsidRPr="009B1965">
        <w:rPr>
          <w:rFonts w:ascii="Arial" w:eastAsia="Times New Roman" w:hAnsi="Arial" w:cs="Arial"/>
          <w:snapToGrid w:val="0"/>
          <w:color w:val="000000"/>
          <w:sz w:val="20"/>
          <w:szCs w:val="20"/>
          <w:lang w:eastAsia="de-DE" w:bidi="en-US"/>
        </w:rPr>
        <w:t>21</w:t>
      </w:r>
      <w:proofErr w:type="gramStart"/>
      <w:r w:rsidRPr="009B1965">
        <w:rPr>
          <w:rFonts w:ascii="Arial" w:eastAsia="Times New Roman" w:hAnsi="Arial" w:cs="Arial"/>
          <w:snapToGrid w:val="0"/>
          <w:color w:val="000000"/>
          <w:sz w:val="20"/>
          <w:szCs w:val="20"/>
          <w:lang w:eastAsia="de-DE" w:bidi="en-US"/>
        </w:rPr>
        <w:t>.Barragán</w:t>
      </w:r>
      <w:proofErr w:type="gramEnd"/>
      <w:r w:rsidRPr="009B1965">
        <w:rPr>
          <w:rFonts w:ascii="Arial" w:eastAsia="Times New Roman" w:hAnsi="Arial" w:cs="Arial"/>
          <w:snapToGrid w:val="0"/>
          <w:color w:val="000000"/>
          <w:sz w:val="20"/>
          <w:szCs w:val="20"/>
          <w:lang w:eastAsia="de-DE" w:bidi="en-US"/>
        </w:rPr>
        <w:t xml:space="preserve">, E. Epilepsia y condiciones psiquiátricas relacionadas. </w:t>
      </w:r>
      <w:proofErr w:type="spellStart"/>
      <w:r w:rsidRPr="009B1965">
        <w:rPr>
          <w:rFonts w:ascii="Arial" w:eastAsia="Times New Roman" w:hAnsi="Arial" w:cs="Arial"/>
          <w:snapToGrid w:val="0"/>
          <w:color w:val="000000"/>
          <w:sz w:val="20"/>
          <w:szCs w:val="20"/>
          <w:lang w:eastAsia="de-DE" w:bidi="en-US"/>
        </w:rPr>
        <w:t>Borredá</w:t>
      </w:r>
      <w:proofErr w:type="spellEnd"/>
      <w:r w:rsidRPr="009B1965">
        <w:rPr>
          <w:rFonts w:ascii="Arial" w:eastAsia="Times New Roman" w:hAnsi="Arial" w:cs="Arial"/>
          <w:snapToGrid w:val="0"/>
          <w:color w:val="000000"/>
          <w:sz w:val="20"/>
          <w:szCs w:val="20"/>
          <w:lang w:eastAsia="de-DE" w:bidi="en-US"/>
        </w:rPr>
        <w:t xml:space="preserve"> L, Irarrázaval M, Martin A, eds. Pastor A, </w:t>
      </w:r>
      <w:proofErr w:type="spellStart"/>
      <w:r w:rsidRPr="009B1965">
        <w:rPr>
          <w:rFonts w:ascii="Arial" w:eastAsia="Times New Roman" w:hAnsi="Arial" w:cs="Arial"/>
          <w:snapToGrid w:val="0"/>
          <w:color w:val="000000"/>
          <w:sz w:val="20"/>
          <w:szCs w:val="20"/>
          <w:lang w:eastAsia="de-DE" w:bidi="en-US"/>
        </w:rPr>
        <w:t>Rodriguez</w:t>
      </w:r>
      <w:proofErr w:type="spellEnd"/>
      <w:r w:rsidRPr="009B1965">
        <w:rPr>
          <w:rFonts w:ascii="Arial" w:eastAsia="Times New Roman" w:hAnsi="Arial" w:cs="Arial"/>
          <w:snapToGrid w:val="0"/>
          <w:color w:val="000000"/>
          <w:sz w:val="20"/>
          <w:szCs w:val="20"/>
          <w:lang w:eastAsia="de-DE" w:bidi="en-US"/>
        </w:rPr>
        <w:t xml:space="preserve"> S, </w:t>
      </w:r>
      <w:proofErr w:type="spellStart"/>
      <w:r w:rsidRPr="009B1965">
        <w:rPr>
          <w:rFonts w:ascii="Arial" w:eastAsia="Times New Roman" w:hAnsi="Arial" w:cs="Arial"/>
          <w:snapToGrid w:val="0"/>
          <w:color w:val="000000"/>
          <w:sz w:val="20"/>
          <w:szCs w:val="20"/>
          <w:lang w:eastAsia="de-DE" w:bidi="en-US"/>
        </w:rPr>
        <w:t>Andreia</w:t>
      </w:r>
      <w:proofErr w:type="spellEnd"/>
      <w:r w:rsidRPr="009B1965">
        <w:rPr>
          <w:rFonts w:ascii="Arial" w:eastAsia="Times New Roman" w:hAnsi="Arial" w:cs="Arial"/>
          <w:snapToGrid w:val="0"/>
          <w:color w:val="000000"/>
          <w:sz w:val="20"/>
          <w:szCs w:val="20"/>
          <w:lang w:eastAsia="de-DE" w:bidi="en-US"/>
        </w:rPr>
        <w:t xml:space="preserve"> C. A. Carvalho, Stefan MT, Cox, P. trad.). En Rey JM (</w:t>
      </w:r>
      <w:proofErr w:type="spellStart"/>
      <w:r w:rsidRPr="009B1965">
        <w:rPr>
          <w:rFonts w:ascii="Arial" w:eastAsia="Times New Roman" w:hAnsi="Arial" w:cs="Arial"/>
          <w:snapToGrid w:val="0"/>
          <w:color w:val="000000"/>
          <w:sz w:val="20"/>
          <w:szCs w:val="20"/>
          <w:lang w:eastAsia="de-DE" w:bidi="en-US"/>
        </w:rPr>
        <w:t>ed</w:t>
      </w:r>
      <w:proofErr w:type="spellEnd"/>
      <w:r w:rsidRPr="009B1965">
        <w:rPr>
          <w:rFonts w:ascii="Arial" w:eastAsia="Times New Roman" w:hAnsi="Arial" w:cs="Arial"/>
          <w:snapToGrid w:val="0"/>
          <w:color w:val="000000"/>
          <w:sz w:val="20"/>
          <w:szCs w:val="20"/>
          <w:lang w:eastAsia="de-DE" w:bidi="en-US"/>
        </w:rPr>
        <w:t>), Manual de Salud Mental Infantil y Adolescente de la IACAPAP. Ginebra: Asociación Internacional de Psiquiatría del Niño y el Adolescente y Profesiones Afines 2018.</w:t>
      </w:r>
    </w:p>
    <w:p w:rsidR="009133E7" w:rsidRPr="009B1965" w:rsidRDefault="009133E7" w:rsidP="009A41C3">
      <w:pPr>
        <w:tabs>
          <w:tab w:val="left" w:pos="916"/>
          <w:tab w:val="left" w:pos="1832"/>
          <w:tab w:val="left" w:pos="2748"/>
          <w:tab w:val="left" w:pos="3664"/>
          <w:tab w:val="left" w:pos="4580"/>
          <w:tab w:val="left" w:pos="5496"/>
          <w:tab w:val="left" w:pos="6412"/>
          <w:tab w:val="left" w:pos="7328"/>
          <w:tab w:val="left" w:pos="7938"/>
          <w:tab w:val="left" w:pos="9160"/>
          <w:tab w:val="left" w:pos="10076"/>
          <w:tab w:val="left" w:pos="10992"/>
          <w:tab w:val="left" w:pos="11908"/>
          <w:tab w:val="left" w:pos="12824"/>
          <w:tab w:val="left" w:pos="13740"/>
          <w:tab w:val="left" w:pos="14656"/>
        </w:tabs>
        <w:spacing w:afterLines="100" w:after="240" w:line="240" w:lineRule="auto"/>
        <w:contextualSpacing/>
        <w:jc w:val="both"/>
        <w:rPr>
          <w:rFonts w:ascii="Arial" w:eastAsia="Times New Roman" w:hAnsi="Arial" w:cs="Arial"/>
          <w:sz w:val="20"/>
          <w:szCs w:val="20"/>
          <w:lang w:eastAsia="es-ES"/>
        </w:rPr>
      </w:pPr>
    </w:p>
    <w:p w:rsidR="009133E7" w:rsidRPr="009B1965" w:rsidRDefault="009133E7" w:rsidP="009A41C3">
      <w:pPr>
        <w:spacing w:afterLines="100" w:after="240" w:line="240" w:lineRule="auto"/>
        <w:jc w:val="both"/>
        <w:rPr>
          <w:rFonts w:ascii="Arial" w:hAnsi="Arial" w:cs="Arial"/>
          <w:sz w:val="20"/>
          <w:szCs w:val="20"/>
          <w:lang w:val="en-US"/>
        </w:rPr>
      </w:pPr>
      <w:r w:rsidRPr="009B1965">
        <w:rPr>
          <w:rFonts w:ascii="Arial" w:hAnsi="Arial" w:cs="Arial"/>
          <w:sz w:val="20"/>
          <w:szCs w:val="20"/>
          <w:lang w:val="en-US"/>
        </w:rPr>
        <w:t xml:space="preserve">22. </w:t>
      </w:r>
      <w:proofErr w:type="spellStart"/>
      <w:r w:rsidRPr="009B1965">
        <w:rPr>
          <w:rFonts w:ascii="Arial" w:hAnsi="Arial" w:cs="Arial"/>
          <w:sz w:val="20"/>
          <w:szCs w:val="20"/>
          <w:lang w:val="en-US"/>
        </w:rPr>
        <w:t>Zeng</w:t>
      </w:r>
      <w:proofErr w:type="spellEnd"/>
      <w:r w:rsidRPr="009B1965">
        <w:rPr>
          <w:rFonts w:ascii="Arial" w:hAnsi="Arial" w:cs="Arial"/>
          <w:sz w:val="20"/>
          <w:szCs w:val="20"/>
          <w:lang w:val="en-US"/>
        </w:rPr>
        <w:t xml:space="preserve"> R, Myers L, </w:t>
      </w:r>
      <w:proofErr w:type="spellStart"/>
      <w:r w:rsidRPr="009B1965">
        <w:rPr>
          <w:rFonts w:ascii="Arial" w:hAnsi="Arial" w:cs="Arial"/>
          <w:sz w:val="20"/>
          <w:szCs w:val="20"/>
          <w:lang w:val="en-US"/>
        </w:rPr>
        <w:t>Lancman</w:t>
      </w:r>
      <w:proofErr w:type="spellEnd"/>
      <w:r w:rsidRPr="009B1965">
        <w:rPr>
          <w:rFonts w:ascii="Arial" w:hAnsi="Arial" w:cs="Arial"/>
          <w:sz w:val="20"/>
          <w:szCs w:val="20"/>
          <w:lang w:val="en-US"/>
        </w:rPr>
        <w:t xml:space="preserve"> M. Post-traumatic stress and relationships to coping and alexithymia in patients with psychogenic non-epileptic seizures. </w:t>
      </w:r>
      <w:r w:rsidRPr="009B1965">
        <w:rPr>
          <w:rFonts w:ascii="Arial" w:hAnsi="Arial" w:cs="Arial"/>
          <w:i/>
          <w:sz w:val="20"/>
          <w:szCs w:val="20"/>
          <w:lang w:val="en-US"/>
        </w:rPr>
        <w:t>Seizure 2018</w:t>
      </w:r>
      <w:r w:rsidRPr="009B1965">
        <w:rPr>
          <w:rFonts w:ascii="Arial" w:hAnsi="Arial" w:cs="Arial"/>
          <w:sz w:val="20"/>
          <w:szCs w:val="20"/>
          <w:lang w:val="en-US"/>
        </w:rPr>
        <w:t xml:space="preserve">; 10 (57):70-75. </w:t>
      </w:r>
      <w:proofErr w:type="spellStart"/>
      <w:proofErr w:type="gramStart"/>
      <w:r w:rsidRPr="009B1965">
        <w:rPr>
          <w:rFonts w:ascii="Arial" w:hAnsi="Arial" w:cs="Arial"/>
          <w:sz w:val="20"/>
          <w:szCs w:val="20"/>
          <w:lang w:val="en-US"/>
        </w:rPr>
        <w:t>doi</w:t>
      </w:r>
      <w:proofErr w:type="spellEnd"/>
      <w:proofErr w:type="gramEnd"/>
      <w:r w:rsidRPr="009B1965">
        <w:rPr>
          <w:rFonts w:ascii="Arial" w:hAnsi="Arial" w:cs="Arial"/>
          <w:sz w:val="20"/>
          <w:szCs w:val="20"/>
          <w:lang w:val="en-US"/>
        </w:rPr>
        <w:t>: 10.1016/j.seizure.2018.03.011</w:t>
      </w:r>
    </w:p>
    <w:p w:rsidR="009133E7" w:rsidRPr="009B1965" w:rsidRDefault="009133E7" w:rsidP="009A41C3">
      <w:pPr>
        <w:spacing w:afterLines="100" w:after="240" w:line="240" w:lineRule="auto"/>
        <w:jc w:val="both"/>
        <w:rPr>
          <w:rFonts w:ascii="Arial" w:hAnsi="Arial" w:cs="Arial"/>
          <w:sz w:val="20"/>
          <w:szCs w:val="20"/>
          <w:lang w:val="en-US"/>
        </w:rPr>
      </w:pPr>
      <w:r w:rsidRPr="009B1965">
        <w:rPr>
          <w:rFonts w:ascii="Arial" w:hAnsi="Arial" w:cs="Arial"/>
          <w:sz w:val="20"/>
          <w:szCs w:val="20"/>
          <w:lang w:val="en-US"/>
        </w:rPr>
        <w:t xml:space="preserve">23. </w:t>
      </w:r>
      <w:proofErr w:type="spellStart"/>
      <w:r w:rsidRPr="009B1965">
        <w:rPr>
          <w:rFonts w:ascii="Arial" w:hAnsi="Arial" w:cs="Arial"/>
          <w:sz w:val="20"/>
          <w:szCs w:val="20"/>
          <w:lang w:val="en-US"/>
        </w:rPr>
        <w:t>Vorobyova</w:t>
      </w:r>
      <w:proofErr w:type="spellEnd"/>
      <w:r w:rsidRPr="009B1965">
        <w:rPr>
          <w:rFonts w:ascii="Arial" w:hAnsi="Arial" w:cs="Arial"/>
          <w:sz w:val="20"/>
          <w:szCs w:val="20"/>
          <w:lang w:val="en-US"/>
        </w:rPr>
        <w:t xml:space="preserve"> O, </w:t>
      </w:r>
      <w:proofErr w:type="spellStart"/>
      <w:r w:rsidRPr="009B1965">
        <w:rPr>
          <w:rFonts w:ascii="Arial" w:hAnsi="Arial" w:cs="Arial"/>
          <w:sz w:val="20"/>
          <w:szCs w:val="20"/>
          <w:lang w:val="en-US"/>
        </w:rPr>
        <w:t>Stadniuk</w:t>
      </w:r>
      <w:proofErr w:type="spellEnd"/>
      <w:r w:rsidRPr="009B1965">
        <w:rPr>
          <w:rFonts w:ascii="Arial" w:hAnsi="Arial" w:cs="Arial"/>
          <w:sz w:val="20"/>
          <w:szCs w:val="20"/>
          <w:lang w:val="en-US"/>
        </w:rPr>
        <w:t xml:space="preserve"> Y. </w:t>
      </w:r>
      <w:proofErr w:type="gramStart"/>
      <w:r w:rsidRPr="009B1965">
        <w:rPr>
          <w:rFonts w:ascii="Arial" w:hAnsi="Arial" w:cs="Arial"/>
          <w:sz w:val="20"/>
          <w:szCs w:val="20"/>
          <w:lang w:val="en-US"/>
        </w:rPr>
        <w:t>An influence of interictal anxiety on coping and self-control strategies for epileptic seizures in patients with temporal lobe epilepsy.</w:t>
      </w:r>
      <w:proofErr w:type="gramEnd"/>
      <w:r w:rsidRPr="009B1965">
        <w:rPr>
          <w:rFonts w:ascii="Arial" w:hAnsi="Arial" w:cs="Arial"/>
          <w:sz w:val="20"/>
          <w:szCs w:val="20"/>
          <w:lang w:val="en-US"/>
        </w:rPr>
        <w:t xml:space="preserve"> </w:t>
      </w:r>
      <w:proofErr w:type="spellStart"/>
      <w:proofErr w:type="gramStart"/>
      <w:r w:rsidRPr="009B1965">
        <w:rPr>
          <w:rFonts w:ascii="Arial" w:hAnsi="Arial" w:cs="Arial"/>
          <w:i/>
          <w:sz w:val="20"/>
          <w:szCs w:val="20"/>
          <w:lang w:val="en-US"/>
        </w:rPr>
        <w:t>Zh</w:t>
      </w:r>
      <w:proofErr w:type="spellEnd"/>
      <w:r w:rsidRPr="009B1965">
        <w:rPr>
          <w:rFonts w:ascii="Arial" w:hAnsi="Arial" w:cs="Arial"/>
          <w:i/>
          <w:sz w:val="20"/>
          <w:szCs w:val="20"/>
          <w:lang w:val="en-US"/>
        </w:rPr>
        <w:t xml:space="preserve"> </w:t>
      </w:r>
      <w:proofErr w:type="spellStart"/>
      <w:r w:rsidRPr="009B1965">
        <w:rPr>
          <w:rFonts w:ascii="Arial" w:hAnsi="Arial" w:cs="Arial"/>
          <w:i/>
          <w:sz w:val="20"/>
          <w:szCs w:val="20"/>
          <w:lang w:val="en-US"/>
        </w:rPr>
        <w:t>Nevrol</w:t>
      </w:r>
      <w:proofErr w:type="spellEnd"/>
      <w:r w:rsidRPr="009B1965">
        <w:rPr>
          <w:rFonts w:ascii="Arial" w:hAnsi="Arial" w:cs="Arial"/>
          <w:i/>
          <w:sz w:val="20"/>
          <w:szCs w:val="20"/>
          <w:lang w:val="en-US"/>
        </w:rPr>
        <w:t xml:space="preserve"> </w:t>
      </w:r>
      <w:proofErr w:type="spellStart"/>
      <w:r w:rsidRPr="009B1965">
        <w:rPr>
          <w:rFonts w:ascii="Arial" w:hAnsi="Arial" w:cs="Arial"/>
          <w:i/>
          <w:sz w:val="20"/>
          <w:szCs w:val="20"/>
          <w:lang w:val="en-US"/>
        </w:rPr>
        <w:t>Psikhiatr</w:t>
      </w:r>
      <w:proofErr w:type="spellEnd"/>
      <w:r w:rsidRPr="009B1965">
        <w:rPr>
          <w:rFonts w:ascii="Arial" w:hAnsi="Arial" w:cs="Arial"/>
          <w:i/>
          <w:sz w:val="20"/>
          <w:szCs w:val="20"/>
          <w:lang w:val="en-US"/>
        </w:rPr>
        <w:t xml:space="preserve"> </w:t>
      </w:r>
      <w:proofErr w:type="spellStart"/>
      <w:r w:rsidRPr="009B1965">
        <w:rPr>
          <w:rFonts w:ascii="Arial" w:hAnsi="Arial" w:cs="Arial"/>
          <w:i/>
          <w:sz w:val="20"/>
          <w:szCs w:val="20"/>
          <w:lang w:val="en-US"/>
        </w:rPr>
        <w:t>Im</w:t>
      </w:r>
      <w:proofErr w:type="spellEnd"/>
      <w:r w:rsidRPr="009B1965">
        <w:rPr>
          <w:rFonts w:ascii="Arial" w:hAnsi="Arial" w:cs="Arial"/>
          <w:i/>
          <w:sz w:val="20"/>
          <w:szCs w:val="20"/>
          <w:lang w:val="en-US"/>
        </w:rPr>
        <w:t xml:space="preserve"> S </w:t>
      </w:r>
      <w:proofErr w:type="spellStart"/>
      <w:r w:rsidRPr="009B1965">
        <w:rPr>
          <w:rFonts w:ascii="Arial" w:hAnsi="Arial" w:cs="Arial"/>
          <w:i/>
          <w:sz w:val="20"/>
          <w:szCs w:val="20"/>
          <w:lang w:val="en-US"/>
        </w:rPr>
        <w:t>S</w:t>
      </w:r>
      <w:proofErr w:type="spellEnd"/>
      <w:r w:rsidRPr="009B1965">
        <w:rPr>
          <w:rFonts w:ascii="Arial" w:hAnsi="Arial" w:cs="Arial"/>
          <w:i/>
          <w:sz w:val="20"/>
          <w:szCs w:val="20"/>
          <w:lang w:val="en-US"/>
        </w:rPr>
        <w:t xml:space="preserve"> </w:t>
      </w:r>
      <w:proofErr w:type="spellStart"/>
      <w:r w:rsidRPr="009B1965">
        <w:rPr>
          <w:rFonts w:ascii="Arial" w:hAnsi="Arial" w:cs="Arial"/>
          <w:i/>
          <w:sz w:val="20"/>
          <w:szCs w:val="20"/>
          <w:lang w:val="en-US"/>
        </w:rPr>
        <w:t>Korsakova</w:t>
      </w:r>
      <w:proofErr w:type="spellEnd"/>
      <w:r w:rsidRPr="009B1965">
        <w:rPr>
          <w:rFonts w:ascii="Arial" w:hAnsi="Arial" w:cs="Arial"/>
          <w:i/>
          <w:sz w:val="20"/>
          <w:szCs w:val="20"/>
          <w:lang w:val="en-US"/>
        </w:rPr>
        <w:t xml:space="preserve"> 2017</w:t>
      </w:r>
      <w:r w:rsidRPr="009B1965">
        <w:rPr>
          <w:rFonts w:ascii="Arial" w:hAnsi="Arial" w:cs="Arial"/>
          <w:sz w:val="20"/>
          <w:szCs w:val="20"/>
          <w:lang w:val="en-US"/>
        </w:rPr>
        <w:t>; 117(9.</w:t>
      </w:r>
      <w:proofErr w:type="gramEnd"/>
      <w:r w:rsidRPr="009B1965">
        <w:rPr>
          <w:rFonts w:ascii="Arial" w:hAnsi="Arial" w:cs="Arial"/>
          <w:sz w:val="20"/>
          <w:szCs w:val="20"/>
          <w:lang w:val="en-US"/>
        </w:rPr>
        <w:t xml:space="preserve"> </w:t>
      </w:r>
      <w:proofErr w:type="spellStart"/>
      <w:proofErr w:type="gramStart"/>
      <w:r w:rsidRPr="009B1965">
        <w:rPr>
          <w:rFonts w:ascii="Arial" w:hAnsi="Arial" w:cs="Arial"/>
          <w:sz w:val="20"/>
          <w:szCs w:val="20"/>
          <w:lang w:val="en-US"/>
        </w:rPr>
        <w:t>Vyp</w:t>
      </w:r>
      <w:proofErr w:type="spellEnd"/>
      <w:r w:rsidRPr="009B1965">
        <w:rPr>
          <w:rFonts w:ascii="Arial" w:hAnsi="Arial" w:cs="Arial"/>
          <w:sz w:val="20"/>
          <w:szCs w:val="20"/>
          <w:lang w:val="en-US"/>
        </w:rPr>
        <w:t>.</w:t>
      </w:r>
      <w:proofErr w:type="gramEnd"/>
      <w:r w:rsidRPr="009B1965">
        <w:rPr>
          <w:rFonts w:ascii="Arial" w:hAnsi="Arial" w:cs="Arial"/>
          <w:sz w:val="20"/>
          <w:szCs w:val="20"/>
          <w:lang w:val="en-US"/>
        </w:rPr>
        <w:t xml:space="preserve"> 2):44-49. </w:t>
      </w:r>
      <w:proofErr w:type="spellStart"/>
      <w:proofErr w:type="gramStart"/>
      <w:r w:rsidRPr="009B1965">
        <w:rPr>
          <w:rFonts w:ascii="Arial" w:hAnsi="Arial" w:cs="Arial"/>
          <w:sz w:val="20"/>
          <w:szCs w:val="20"/>
          <w:lang w:val="en-US"/>
        </w:rPr>
        <w:t>doi</w:t>
      </w:r>
      <w:proofErr w:type="spellEnd"/>
      <w:proofErr w:type="gramEnd"/>
      <w:r w:rsidRPr="009B1965">
        <w:rPr>
          <w:rFonts w:ascii="Arial" w:hAnsi="Arial" w:cs="Arial"/>
          <w:sz w:val="20"/>
          <w:szCs w:val="20"/>
          <w:lang w:val="en-US"/>
        </w:rPr>
        <w:t>: 10.17116/jnevro20171179244-49.</w:t>
      </w:r>
    </w:p>
    <w:p w:rsidR="009133E7" w:rsidRPr="009B1965" w:rsidRDefault="009133E7" w:rsidP="009A41C3">
      <w:pPr>
        <w:autoSpaceDE w:val="0"/>
        <w:autoSpaceDN w:val="0"/>
        <w:adjustRightInd w:val="0"/>
        <w:spacing w:afterLines="100" w:after="240" w:line="240" w:lineRule="auto"/>
        <w:jc w:val="both"/>
        <w:rPr>
          <w:rFonts w:ascii="Arial" w:hAnsi="Arial" w:cs="Arial"/>
          <w:color w:val="000000"/>
          <w:sz w:val="20"/>
          <w:szCs w:val="20"/>
          <w:lang w:val="en-US" w:eastAsia="es-ES"/>
        </w:rPr>
      </w:pPr>
      <w:r w:rsidRPr="009B1965">
        <w:rPr>
          <w:rFonts w:ascii="Arial" w:hAnsi="Arial" w:cs="Arial"/>
          <w:color w:val="000000"/>
          <w:sz w:val="20"/>
          <w:szCs w:val="20"/>
          <w:lang w:val="en-US" w:eastAsia="es-ES"/>
        </w:rPr>
        <w:t xml:space="preserve">24. De Barros A, </w:t>
      </w:r>
      <w:proofErr w:type="spellStart"/>
      <w:r w:rsidRPr="009B1965">
        <w:rPr>
          <w:rFonts w:ascii="Arial" w:hAnsi="Arial" w:cs="Arial"/>
          <w:color w:val="000000"/>
          <w:sz w:val="20"/>
          <w:szCs w:val="20"/>
          <w:lang w:val="en-US" w:eastAsia="es-ES"/>
        </w:rPr>
        <w:t>Furlan</w:t>
      </w:r>
      <w:proofErr w:type="spellEnd"/>
      <w:r w:rsidRPr="009B1965">
        <w:rPr>
          <w:rFonts w:ascii="Arial" w:hAnsi="Arial" w:cs="Arial"/>
          <w:color w:val="000000"/>
          <w:sz w:val="20"/>
          <w:szCs w:val="20"/>
          <w:lang w:val="en-US" w:eastAsia="es-ES"/>
        </w:rPr>
        <w:t xml:space="preserve"> A, Marques L, de </w:t>
      </w:r>
      <w:proofErr w:type="spellStart"/>
      <w:r w:rsidRPr="009B1965">
        <w:rPr>
          <w:rFonts w:ascii="Arial" w:hAnsi="Arial" w:cs="Arial"/>
          <w:color w:val="000000"/>
          <w:sz w:val="20"/>
          <w:szCs w:val="20"/>
          <w:lang w:val="en-US" w:eastAsia="es-ES"/>
        </w:rPr>
        <w:t>Araújo</w:t>
      </w:r>
      <w:proofErr w:type="spellEnd"/>
      <w:r w:rsidRPr="009B1965">
        <w:rPr>
          <w:rFonts w:ascii="Arial" w:hAnsi="Arial" w:cs="Arial"/>
          <w:color w:val="000000"/>
          <w:sz w:val="20"/>
          <w:szCs w:val="20"/>
          <w:lang w:val="en-US" w:eastAsia="es-ES"/>
        </w:rPr>
        <w:t xml:space="preserve"> G. Gender differences in prevalence of psychiatric disorders, levels of alexithymia, and coping strategies in patients with refractory mesial temporal epilepsy and comorbid psychogenic </w:t>
      </w:r>
      <w:proofErr w:type="spellStart"/>
      <w:r w:rsidRPr="009B1965">
        <w:rPr>
          <w:rFonts w:ascii="Arial" w:hAnsi="Arial" w:cs="Arial"/>
          <w:color w:val="000000"/>
          <w:sz w:val="20"/>
          <w:szCs w:val="20"/>
          <w:lang w:val="en-US" w:eastAsia="es-ES"/>
        </w:rPr>
        <w:t>nonepileptic</w:t>
      </w:r>
      <w:proofErr w:type="spellEnd"/>
      <w:r w:rsidRPr="009B1965">
        <w:rPr>
          <w:rFonts w:ascii="Arial" w:hAnsi="Arial" w:cs="Arial"/>
          <w:color w:val="000000"/>
          <w:sz w:val="20"/>
          <w:szCs w:val="20"/>
          <w:lang w:val="en-US" w:eastAsia="es-ES"/>
        </w:rPr>
        <w:t xml:space="preserve"> seizures. </w:t>
      </w:r>
      <w:r w:rsidRPr="009B1965">
        <w:rPr>
          <w:rFonts w:ascii="Arial" w:hAnsi="Arial" w:cs="Arial"/>
          <w:i/>
          <w:color w:val="000000"/>
          <w:sz w:val="20"/>
          <w:szCs w:val="20"/>
          <w:lang w:val="en-US" w:eastAsia="es-ES"/>
        </w:rPr>
        <w:t xml:space="preserve">Epilepsy </w:t>
      </w:r>
      <w:proofErr w:type="spellStart"/>
      <w:r w:rsidRPr="009B1965">
        <w:rPr>
          <w:rFonts w:ascii="Arial" w:hAnsi="Arial" w:cs="Arial"/>
          <w:i/>
          <w:color w:val="000000"/>
          <w:sz w:val="20"/>
          <w:szCs w:val="20"/>
          <w:lang w:val="en-US" w:eastAsia="es-ES"/>
        </w:rPr>
        <w:t>Behav</w:t>
      </w:r>
      <w:proofErr w:type="spellEnd"/>
      <w:r w:rsidRPr="009B1965">
        <w:rPr>
          <w:rFonts w:ascii="Arial" w:hAnsi="Arial" w:cs="Arial"/>
          <w:i/>
          <w:color w:val="000000"/>
          <w:sz w:val="20"/>
          <w:szCs w:val="20"/>
          <w:lang w:val="en-US" w:eastAsia="es-ES"/>
        </w:rPr>
        <w:t xml:space="preserve"> 2018;</w:t>
      </w:r>
      <w:r w:rsidRPr="009B1965">
        <w:rPr>
          <w:rFonts w:ascii="Arial" w:hAnsi="Arial" w:cs="Arial"/>
          <w:color w:val="000000"/>
          <w:sz w:val="20"/>
          <w:szCs w:val="20"/>
          <w:lang w:val="en-US" w:eastAsia="es-ES"/>
        </w:rPr>
        <w:t xml:space="preserve"> 22(82):1-5. </w:t>
      </w:r>
      <w:proofErr w:type="spellStart"/>
      <w:proofErr w:type="gramStart"/>
      <w:r w:rsidRPr="009B1965">
        <w:rPr>
          <w:rFonts w:ascii="Arial" w:hAnsi="Arial" w:cs="Arial"/>
          <w:color w:val="000000"/>
          <w:sz w:val="20"/>
          <w:szCs w:val="20"/>
          <w:lang w:val="en-US" w:eastAsia="es-ES"/>
        </w:rPr>
        <w:t>doi</w:t>
      </w:r>
      <w:proofErr w:type="spellEnd"/>
      <w:proofErr w:type="gramEnd"/>
      <w:r w:rsidRPr="009B1965">
        <w:rPr>
          <w:rFonts w:ascii="Arial" w:hAnsi="Arial" w:cs="Arial"/>
          <w:color w:val="000000"/>
          <w:sz w:val="20"/>
          <w:szCs w:val="20"/>
          <w:lang w:val="en-US" w:eastAsia="es-ES"/>
        </w:rPr>
        <w:t>: 10.1016/j.yebeh.2018.02.026.</w:t>
      </w:r>
    </w:p>
    <w:p w:rsidR="009133E7" w:rsidRPr="009B1965" w:rsidRDefault="009133E7" w:rsidP="009A41C3">
      <w:pPr>
        <w:spacing w:afterLines="100" w:after="240" w:line="240" w:lineRule="auto"/>
        <w:jc w:val="both"/>
        <w:rPr>
          <w:rFonts w:ascii="Arial" w:hAnsi="Arial" w:cs="Arial"/>
          <w:sz w:val="20"/>
          <w:szCs w:val="20"/>
          <w:lang w:val="en-US"/>
        </w:rPr>
      </w:pPr>
      <w:r w:rsidRPr="009B1965">
        <w:rPr>
          <w:rFonts w:ascii="Arial" w:hAnsi="Arial" w:cs="Arial"/>
          <w:sz w:val="20"/>
          <w:szCs w:val="20"/>
          <w:lang w:val="en-US"/>
        </w:rPr>
        <w:t xml:space="preserve">25. </w:t>
      </w:r>
      <w:proofErr w:type="spellStart"/>
      <w:r w:rsidRPr="009B1965">
        <w:rPr>
          <w:rFonts w:ascii="Arial" w:hAnsi="Arial" w:cs="Arial"/>
          <w:sz w:val="20"/>
          <w:szCs w:val="20"/>
          <w:lang w:val="en-US"/>
        </w:rPr>
        <w:t>Kozlowska</w:t>
      </w:r>
      <w:proofErr w:type="spellEnd"/>
      <w:r w:rsidRPr="009B1965">
        <w:rPr>
          <w:rFonts w:ascii="Arial" w:hAnsi="Arial" w:cs="Arial"/>
          <w:sz w:val="20"/>
          <w:szCs w:val="20"/>
          <w:lang w:val="en-US"/>
        </w:rPr>
        <w:t xml:space="preserve"> K, </w:t>
      </w:r>
      <w:proofErr w:type="spellStart"/>
      <w:r w:rsidRPr="009B1965">
        <w:rPr>
          <w:rFonts w:ascii="Arial" w:hAnsi="Arial" w:cs="Arial"/>
          <w:sz w:val="20"/>
          <w:szCs w:val="20"/>
          <w:lang w:val="en-US"/>
        </w:rPr>
        <w:t>Chudleigh</w:t>
      </w:r>
      <w:proofErr w:type="spellEnd"/>
      <w:r w:rsidRPr="009B1965">
        <w:rPr>
          <w:rFonts w:ascii="Arial" w:hAnsi="Arial" w:cs="Arial"/>
          <w:sz w:val="20"/>
          <w:szCs w:val="20"/>
          <w:lang w:val="en-US"/>
        </w:rPr>
        <w:t xml:space="preserve"> C, Cruz C, Lim M, McClure G, Savage B, et al.  Psychogenic non-epileptic seizures in children and adolescents: Part II -explanations to families, treatment, and group outcomes</w:t>
      </w:r>
      <w:r w:rsidRPr="009B1965">
        <w:rPr>
          <w:rFonts w:ascii="Arial" w:hAnsi="Arial" w:cs="Arial"/>
          <w:i/>
          <w:sz w:val="20"/>
          <w:szCs w:val="20"/>
          <w:lang w:val="en-US"/>
        </w:rPr>
        <w:t xml:space="preserve">. </w:t>
      </w:r>
      <w:proofErr w:type="spellStart"/>
      <w:r w:rsidRPr="009B1965">
        <w:rPr>
          <w:rFonts w:ascii="Arial" w:hAnsi="Arial" w:cs="Arial"/>
          <w:i/>
          <w:sz w:val="20"/>
          <w:szCs w:val="20"/>
          <w:lang w:val="en-US"/>
        </w:rPr>
        <w:t>Clin</w:t>
      </w:r>
      <w:proofErr w:type="spellEnd"/>
      <w:r w:rsidRPr="009B1965">
        <w:rPr>
          <w:rFonts w:ascii="Arial" w:hAnsi="Arial" w:cs="Arial"/>
          <w:i/>
          <w:sz w:val="20"/>
          <w:szCs w:val="20"/>
          <w:lang w:val="en-US"/>
        </w:rPr>
        <w:t xml:space="preserve"> Child </w:t>
      </w:r>
      <w:proofErr w:type="spellStart"/>
      <w:r w:rsidRPr="009B1965">
        <w:rPr>
          <w:rFonts w:ascii="Arial" w:hAnsi="Arial" w:cs="Arial"/>
          <w:i/>
          <w:sz w:val="20"/>
          <w:szCs w:val="20"/>
          <w:lang w:val="en-US"/>
        </w:rPr>
        <w:t>Psychol</w:t>
      </w:r>
      <w:proofErr w:type="spellEnd"/>
      <w:r w:rsidRPr="009B1965">
        <w:rPr>
          <w:rFonts w:ascii="Arial" w:hAnsi="Arial" w:cs="Arial"/>
          <w:i/>
          <w:sz w:val="20"/>
          <w:szCs w:val="20"/>
          <w:lang w:val="en-US"/>
        </w:rPr>
        <w:t xml:space="preserve"> Psychiatry 2018;</w:t>
      </w:r>
      <w:r w:rsidRPr="009B1965">
        <w:rPr>
          <w:rFonts w:ascii="Arial" w:hAnsi="Arial" w:cs="Arial"/>
          <w:sz w:val="20"/>
          <w:szCs w:val="20"/>
          <w:lang w:val="en-US"/>
        </w:rPr>
        <w:t xml:space="preserve"> Jan; 23(1):160-176.  </w:t>
      </w:r>
      <w:proofErr w:type="gramStart"/>
      <w:r w:rsidRPr="009B1965">
        <w:rPr>
          <w:rFonts w:ascii="Arial" w:hAnsi="Arial" w:cs="Arial"/>
          <w:sz w:val="20"/>
          <w:szCs w:val="20"/>
          <w:lang w:val="en-US"/>
        </w:rPr>
        <w:t>doi:</w:t>
      </w:r>
      <w:proofErr w:type="gramEnd"/>
      <w:r w:rsidRPr="009B1965">
        <w:rPr>
          <w:rFonts w:ascii="Arial" w:hAnsi="Arial" w:cs="Arial"/>
          <w:sz w:val="20"/>
          <w:szCs w:val="20"/>
          <w:lang w:val="en-US"/>
        </w:rPr>
        <w:t xml:space="preserve">10.1177/1359104517730116. </w:t>
      </w:r>
      <w:proofErr w:type="spellStart"/>
      <w:r w:rsidRPr="009B1965">
        <w:rPr>
          <w:rFonts w:ascii="Arial" w:hAnsi="Arial" w:cs="Arial"/>
          <w:sz w:val="20"/>
          <w:szCs w:val="20"/>
          <w:lang w:val="en-US"/>
        </w:rPr>
        <w:t>Epub</w:t>
      </w:r>
      <w:proofErr w:type="spellEnd"/>
      <w:r w:rsidRPr="009B1965">
        <w:rPr>
          <w:rFonts w:ascii="Arial" w:hAnsi="Arial" w:cs="Arial"/>
          <w:sz w:val="20"/>
          <w:szCs w:val="20"/>
          <w:lang w:val="en-US"/>
        </w:rPr>
        <w:t xml:space="preserve"> 2017 Sep 28.</w:t>
      </w:r>
    </w:p>
    <w:p w:rsidR="009133E7" w:rsidRPr="009B1965" w:rsidRDefault="009133E7" w:rsidP="009A41C3">
      <w:pPr>
        <w:spacing w:afterLines="100" w:after="240" w:line="240" w:lineRule="auto"/>
        <w:jc w:val="both"/>
        <w:rPr>
          <w:rFonts w:ascii="Arial" w:hAnsi="Arial" w:cs="Arial"/>
          <w:sz w:val="20"/>
          <w:szCs w:val="20"/>
          <w:lang w:val="en-US"/>
        </w:rPr>
      </w:pPr>
      <w:proofErr w:type="gramStart"/>
      <w:r w:rsidRPr="009B1965">
        <w:rPr>
          <w:rFonts w:ascii="Arial" w:hAnsi="Arial" w:cs="Arial"/>
          <w:sz w:val="20"/>
          <w:szCs w:val="20"/>
          <w:lang w:val="en-US"/>
        </w:rPr>
        <w:t>26. Chen DK, Sharma E, LaFrance WC Jr. Psychogenic Non-Epileptic Seizures.</w:t>
      </w:r>
      <w:proofErr w:type="gramEnd"/>
      <w:r w:rsidRPr="009B1965">
        <w:rPr>
          <w:rFonts w:ascii="Arial" w:hAnsi="Arial" w:cs="Arial"/>
          <w:sz w:val="20"/>
          <w:szCs w:val="20"/>
          <w:lang w:val="en-US"/>
        </w:rPr>
        <w:t xml:space="preserve"> </w:t>
      </w:r>
      <w:proofErr w:type="spellStart"/>
      <w:r w:rsidRPr="009B1965">
        <w:rPr>
          <w:rFonts w:ascii="Arial" w:hAnsi="Arial" w:cs="Arial"/>
          <w:i/>
          <w:sz w:val="20"/>
          <w:szCs w:val="20"/>
          <w:lang w:val="en-US"/>
        </w:rPr>
        <w:t>Curr</w:t>
      </w:r>
      <w:proofErr w:type="spellEnd"/>
      <w:r w:rsidRPr="009B1965">
        <w:rPr>
          <w:rFonts w:ascii="Arial" w:hAnsi="Arial" w:cs="Arial"/>
          <w:i/>
          <w:sz w:val="20"/>
          <w:szCs w:val="20"/>
          <w:lang w:val="en-US"/>
        </w:rPr>
        <w:t xml:space="preserve"> </w:t>
      </w:r>
      <w:proofErr w:type="spellStart"/>
      <w:r w:rsidRPr="009B1965">
        <w:rPr>
          <w:rFonts w:ascii="Arial" w:hAnsi="Arial" w:cs="Arial"/>
          <w:i/>
          <w:sz w:val="20"/>
          <w:szCs w:val="20"/>
          <w:lang w:val="en-US"/>
        </w:rPr>
        <w:t>Neurol</w:t>
      </w:r>
      <w:proofErr w:type="spellEnd"/>
      <w:r w:rsidRPr="009B1965">
        <w:rPr>
          <w:rFonts w:ascii="Arial" w:hAnsi="Arial" w:cs="Arial"/>
          <w:i/>
          <w:sz w:val="20"/>
          <w:szCs w:val="20"/>
          <w:lang w:val="en-US"/>
        </w:rPr>
        <w:t xml:space="preserve"> </w:t>
      </w:r>
      <w:proofErr w:type="spellStart"/>
      <w:r w:rsidRPr="009B1965">
        <w:rPr>
          <w:rFonts w:ascii="Arial" w:hAnsi="Arial" w:cs="Arial"/>
          <w:i/>
          <w:sz w:val="20"/>
          <w:szCs w:val="20"/>
          <w:lang w:val="en-US"/>
        </w:rPr>
        <w:t>Neurosci</w:t>
      </w:r>
      <w:proofErr w:type="spellEnd"/>
      <w:r w:rsidRPr="009B1965">
        <w:rPr>
          <w:rFonts w:ascii="Arial" w:hAnsi="Arial" w:cs="Arial"/>
          <w:i/>
          <w:sz w:val="20"/>
          <w:szCs w:val="20"/>
          <w:lang w:val="en-US"/>
        </w:rPr>
        <w:t xml:space="preserve"> Rep 2017;</w:t>
      </w:r>
      <w:r w:rsidRPr="009B1965">
        <w:rPr>
          <w:rFonts w:ascii="Arial" w:hAnsi="Arial" w:cs="Arial"/>
          <w:sz w:val="20"/>
          <w:szCs w:val="20"/>
          <w:lang w:val="en-US"/>
        </w:rPr>
        <w:t xml:space="preserve"> Sep; 17(9):71. </w:t>
      </w:r>
      <w:proofErr w:type="spellStart"/>
      <w:proofErr w:type="gramStart"/>
      <w:r w:rsidRPr="009B1965">
        <w:rPr>
          <w:rFonts w:ascii="Arial" w:hAnsi="Arial" w:cs="Arial"/>
          <w:sz w:val="20"/>
          <w:szCs w:val="20"/>
          <w:lang w:val="en-US"/>
        </w:rPr>
        <w:t>doi</w:t>
      </w:r>
      <w:proofErr w:type="spellEnd"/>
      <w:proofErr w:type="gramEnd"/>
      <w:r w:rsidRPr="009B1965">
        <w:rPr>
          <w:rFonts w:ascii="Arial" w:hAnsi="Arial" w:cs="Arial"/>
          <w:sz w:val="20"/>
          <w:szCs w:val="20"/>
          <w:lang w:val="en-US"/>
        </w:rPr>
        <w:t>: 10.1007/s11910-017-0781-7.</w:t>
      </w:r>
    </w:p>
    <w:p w:rsidR="009133E7" w:rsidRPr="009B1965" w:rsidRDefault="009133E7" w:rsidP="009A41C3">
      <w:pPr>
        <w:tabs>
          <w:tab w:val="left" w:pos="284"/>
          <w:tab w:val="left" w:pos="426"/>
        </w:tabs>
        <w:adjustRightInd w:val="0"/>
        <w:snapToGrid w:val="0"/>
        <w:spacing w:after="0" w:line="260" w:lineRule="atLeast"/>
        <w:jc w:val="both"/>
        <w:outlineLvl w:val="0"/>
        <w:rPr>
          <w:rFonts w:ascii="Arial" w:eastAsia="Times New Roman" w:hAnsi="Arial" w:cs="Arial"/>
          <w:snapToGrid w:val="0"/>
          <w:color w:val="000000"/>
          <w:sz w:val="20"/>
          <w:szCs w:val="20"/>
          <w:lang w:val="en-US" w:eastAsia="de-DE" w:bidi="en-US"/>
        </w:rPr>
      </w:pPr>
      <w:r w:rsidRPr="009B1965">
        <w:rPr>
          <w:rFonts w:ascii="Arial" w:eastAsia="Times New Roman" w:hAnsi="Arial" w:cs="Arial"/>
          <w:snapToGrid w:val="0"/>
          <w:color w:val="000000"/>
          <w:sz w:val="20"/>
          <w:szCs w:val="20"/>
          <w:lang w:val="en-US" w:eastAsia="de-DE" w:bidi="en-US"/>
        </w:rPr>
        <w:lastRenderedPageBreak/>
        <w:t xml:space="preserve">27.Yalçın, M.; </w:t>
      </w:r>
      <w:proofErr w:type="spellStart"/>
      <w:r w:rsidRPr="009B1965">
        <w:rPr>
          <w:rFonts w:ascii="Arial" w:eastAsia="Times New Roman" w:hAnsi="Arial" w:cs="Arial"/>
          <w:snapToGrid w:val="0"/>
          <w:color w:val="000000"/>
          <w:sz w:val="20"/>
          <w:szCs w:val="20"/>
          <w:lang w:val="en-US" w:eastAsia="de-DE" w:bidi="en-US"/>
        </w:rPr>
        <w:t>Tellioğlu</w:t>
      </w:r>
      <w:proofErr w:type="spellEnd"/>
      <w:r w:rsidRPr="009B1965">
        <w:rPr>
          <w:rFonts w:ascii="Arial" w:eastAsia="Times New Roman" w:hAnsi="Arial" w:cs="Arial"/>
          <w:snapToGrid w:val="0"/>
          <w:color w:val="000000"/>
          <w:sz w:val="20"/>
          <w:szCs w:val="20"/>
          <w:lang w:val="en-US" w:eastAsia="de-DE" w:bidi="en-US"/>
        </w:rPr>
        <w:t xml:space="preserve">, E.; </w:t>
      </w:r>
      <w:proofErr w:type="spellStart"/>
      <w:r w:rsidRPr="009B1965">
        <w:rPr>
          <w:rFonts w:ascii="Arial" w:eastAsia="Times New Roman" w:hAnsi="Arial" w:cs="Arial"/>
          <w:snapToGrid w:val="0"/>
          <w:color w:val="000000"/>
          <w:sz w:val="20"/>
          <w:szCs w:val="20"/>
          <w:lang w:val="en-US" w:eastAsia="de-DE" w:bidi="en-US"/>
        </w:rPr>
        <w:t>Gündüz</w:t>
      </w:r>
      <w:proofErr w:type="spellEnd"/>
      <w:r w:rsidRPr="009B1965">
        <w:rPr>
          <w:rFonts w:ascii="Arial" w:eastAsia="Times New Roman" w:hAnsi="Arial" w:cs="Arial"/>
          <w:snapToGrid w:val="0"/>
          <w:color w:val="000000"/>
          <w:sz w:val="20"/>
          <w:szCs w:val="20"/>
          <w:lang w:val="en-US" w:eastAsia="de-DE" w:bidi="en-US"/>
        </w:rPr>
        <w:t xml:space="preserve">, A.; </w:t>
      </w:r>
      <w:proofErr w:type="spellStart"/>
      <w:r w:rsidRPr="009B1965">
        <w:rPr>
          <w:rFonts w:ascii="Arial" w:eastAsia="Times New Roman" w:hAnsi="Arial" w:cs="Arial"/>
          <w:snapToGrid w:val="0"/>
          <w:color w:val="000000"/>
          <w:sz w:val="20"/>
          <w:szCs w:val="20"/>
          <w:lang w:val="en-US" w:eastAsia="de-DE" w:bidi="en-US"/>
        </w:rPr>
        <w:t>Özmen</w:t>
      </w:r>
      <w:proofErr w:type="spellEnd"/>
      <w:r w:rsidRPr="009B1965">
        <w:rPr>
          <w:rFonts w:ascii="Arial" w:eastAsia="Times New Roman" w:hAnsi="Arial" w:cs="Arial"/>
          <w:snapToGrid w:val="0"/>
          <w:color w:val="000000"/>
          <w:sz w:val="20"/>
          <w:szCs w:val="20"/>
          <w:lang w:val="en-US" w:eastAsia="de-DE" w:bidi="en-US"/>
        </w:rPr>
        <w:t xml:space="preserve">, M.; </w:t>
      </w:r>
      <w:proofErr w:type="spellStart"/>
      <w:r w:rsidRPr="009B1965">
        <w:rPr>
          <w:rFonts w:ascii="Arial" w:eastAsia="Times New Roman" w:hAnsi="Arial" w:cs="Arial"/>
          <w:snapToGrid w:val="0"/>
          <w:color w:val="000000"/>
          <w:sz w:val="20"/>
          <w:szCs w:val="20"/>
          <w:lang w:val="en-US" w:eastAsia="de-DE" w:bidi="en-US"/>
        </w:rPr>
        <w:t>Yeni</w:t>
      </w:r>
      <w:proofErr w:type="spellEnd"/>
      <w:r w:rsidRPr="009B1965">
        <w:rPr>
          <w:rFonts w:ascii="Arial" w:eastAsia="Times New Roman" w:hAnsi="Arial" w:cs="Arial"/>
          <w:snapToGrid w:val="0"/>
          <w:color w:val="000000"/>
          <w:sz w:val="20"/>
          <w:szCs w:val="20"/>
          <w:lang w:val="en-US" w:eastAsia="de-DE" w:bidi="en-US"/>
        </w:rPr>
        <w:t xml:space="preserve">, N.; </w:t>
      </w:r>
      <w:proofErr w:type="spellStart"/>
      <w:r w:rsidRPr="009B1965">
        <w:rPr>
          <w:rFonts w:ascii="Arial" w:eastAsia="Times New Roman" w:hAnsi="Arial" w:cs="Arial"/>
          <w:snapToGrid w:val="0"/>
          <w:color w:val="000000"/>
          <w:sz w:val="20"/>
          <w:szCs w:val="20"/>
          <w:lang w:val="en-US" w:eastAsia="de-DE" w:bidi="en-US"/>
        </w:rPr>
        <w:t>Özkara</w:t>
      </w:r>
      <w:proofErr w:type="spellEnd"/>
      <w:r w:rsidRPr="009B1965">
        <w:rPr>
          <w:rFonts w:ascii="Arial" w:eastAsia="Times New Roman" w:hAnsi="Arial" w:cs="Arial"/>
          <w:snapToGrid w:val="0"/>
          <w:color w:val="000000"/>
          <w:sz w:val="20"/>
          <w:szCs w:val="20"/>
          <w:lang w:val="en-US" w:eastAsia="de-DE" w:bidi="en-US"/>
        </w:rPr>
        <w:t xml:space="preserve">, Ç.; et al. Orienting reaction may help recognition of patients with psychogenic </w:t>
      </w:r>
      <w:proofErr w:type="spellStart"/>
      <w:r w:rsidRPr="009B1965">
        <w:rPr>
          <w:rFonts w:ascii="Arial" w:eastAsia="Times New Roman" w:hAnsi="Arial" w:cs="Arial"/>
          <w:snapToGrid w:val="0"/>
          <w:color w:val="000000"/>
          <w:sz w:val="20"/>
          <w:szCs w:val="20"/>
          <w:lang w:val="en-US" w:eastAsia="de-DE" w:bidi="en-US"/>
        </w:rPr>
        <w:t>nonepileptic</w:t>
      </w:r>
      <w:proofErr w:type="spellEnd"/>
      <w:r w:rsidRPr="009B1965">
        <w:rPr>
          <w:rFonts w:ascii="Arial" w:eastAsia="Times New Roman" w:hAnsi="Arial" w:cs="Arial"/>
          <w:snapToGrid w:val="0"/>
          <w:color w:val="000000"/>
          <w:sz w:val="20"/>
          <w:szCs w:val="20"/>
          <w:lang w:val="en-US" w:eastAsia="de-DE" w:bidi="en-US"/>
        </w:rPr>
        <w:t xml:space="preserve"> seizures. </w:t>
      </w:r>
      <w:proofErr w:type="spellStart"/>
      <w:r w:rsidRPr="009B1965">
        <w:rPr>
          <w:rFonts w:ascii="Arial" w:eastAsia="Times New Roman" w:hAnsi="Arial" w:cs="Arial"/>
          <w:i/>
          <w:snapToGrid w:val="0"/>
          <w:color w:val="000000"/>
          <w:sz w:val="20"/>
          <w:szCs w:val="20"/>
          <w:lang w:val="en-US" w:eastAsia="de-DE" w:bidi="en-US"/>
        </w:rPr>
        <w:t>NeurophysiolClin</w:t>
      </w:r>
      <w:proofErr w:type="spellEnd"/>
      <w:r w:rsidRPr="009B1965">
        <w:rPr>
          <w:rFonts w:ascii="Arial" w:eastAsia="Times New Roman" w:hAnsi="Arial" w:cs="Arial"/>
          <w:snapToGrid w:val="0"/>
          <w:color w:val="000000"/>
          <w:sz w:val="20"/>
          <w:szCs w:val="20"/>
          <w:lang w:val="en-US" w:eastAsia="de-DE" w:bidi="en-US"/>
        </w:rPr>
        <w:t xml:space="preserve"> 2017, 47(3):231-7. </w:t>
      </w:r>
      <w:proofErr w:type="spellStart"/>
      <w:proofErr w:type="gramStart"/>
      <w:r w:rsidRPr="009B1965">
        <w:rPr>
          <w:rFonts w:ascii="Arial" w:eastAsia="Times New Roman" w:hAnsi="Arial" w:cs="Arial"/>
          <w:snapToGrid w:val="0"/>
          <w:color w:val="000000"/>
          <w:sz w:val="20"/>
          <w:szCs w:val="20"/>
          <w:lang w:val="en-US" w:eastAsia="de-DE" w:bidi="en-US"/>
        </w:rPr>
        <w:t>doi</w:t>
      </w:r>
      <w:proofErr w:type="spellEnd"/>
      <w:proofErr w:type="gramEnd"/>
      <w:r w:rsidRPr="009B1965">
        <w:rPr>
          <w:rFonts w:ascii="Arial" w:eastAsia="Times New Roman" w:hAnsi="Arial" w:cs="Arial"/>
          <w:snapToGrid w:val="0"/>
          <w:color w:val="000000"/>
          <w:sz w:val="20"/>
          <w:szCs w:val="20"/>
          <w:lang w:val="en-US" w:eastAsia="de-DE" w:bidi="en-US"/>
        </w:rPr>
        <w:t xml:space="preserve">: 10.1016/j.neucli.2017.02.005. </w:t>
      </w:r>
    </w:p>
    <w:p w:rsidR="009133E7" w:rsidRPr="009B1965" w:rsidRDefault="009133E7" w:rsidP="009A41C3">
      <w:pPr>
        <w:tabs>
          <w:tab w:val="left" w:pos="916"/>
          <w:tab w:val="left" w:pos="1832"/>
          <w:tab w:val="left" w:pos="2748"/>
          <w:tab w:val="left" w:pos="3664"/>
          <w:tab w:val="left" w:pos="4580"/>
          <w:tab w:val="left" w:pos="5496"/>
          <w:tab w:val="left" w:pos="6412"/>
          <w:tab w:val="left" w:pos="7328"/>
          <w:tab w:val="left" w:pos="7938"/>
          <w:tab w:val="left" w:pos="9160"/>
          <w:tab w:val="left" w:pos="10076"/>
          <w:tab w:val="left" w:pos="10992"/>
          <w:tab w:val="left" w:pos="11908"/>
          <w:tab w:val="left" w:pos="12824"/>
          <w:tab w:val="left" w:pos="13740"/>
          <w:tab w:val="left" w:pos="14656"/>
        </w:tabs>
        <w:spacing w:afterLines="100" w:after="240" w:line="240" w:lineRule="auto"/>
        <w:contextualSpacing/>
        <w:jc w:val="both"/>
        <w:rPr>
          <w:rFonts w:ascii="Arial" w:eastAsia="Times New Roman" w:hAnsi="Arial" w:cs="Arial"/>
          <w:sz w:val="20"/>
          <w:szCs w:val="20"/>
          <w:lang w:val="en-US" w:eastAsia="es-ES"/>
        </w:rPr>
      </w:pPr>
    </w:p>
    <w:p w:rsidR="009133E7" w:rsidRPr="009B1965" w:rsidRDefault="009133E7" w:rsidP="009A41C3">
      <w:pPr>
        <w:autoSpaceDE w:val="0"/>
        <w:autoSpaceDN w:val="0"/>
        <w:adjustRightInd w:val="0"/>
        <w:spacing w:afterLines="100" w:after="240" w:line="240" w:lineRule="auto"/>
        <w:jc w:val="both"/>
        <w:rPr>
          <w:rFonts w:ascii="Arial" w:hAnsi="Arial" w:cs="Arial"/>
          <w:color w:val="000000"/>
          <w:sz w:val="20"/>
          <w:szCs w:val="20"/>
          <w:lang w:val="en-US"/>
        </w:rPr>
      </w:pPr>
      <w:r w:rsidRPr="009B1965">
        <w:rPr>
          <w:rFonts w:ascii="Arial" w:hAnsi="Arial" w:cs="Arial"/>
          <w:color w:val="000000"/>
          <w:sz w:val="20"/>
          <w:szCs w:val="20"/>
          <w:lang w:val="en-US"/>
        </w:rPr>
        <w:t xml:space="preserve">28. </w:t>
      </w:r>
      <w:proofErr w:type="spellStart"/>
      <w:r w:rsidRPr="009B1965">
        <w:rPr>
          <w:rFonts w:ascii="Arial" w:hAnsi="Arial" w:cs="Arial"/>
          <w:color w:val="000000"/>
          <w:sz w:val="20"/>
          <w:szCs w:val="20"/>
          <w:lang w:val="en-US"/>
        </w:rPr>
        <w:t>Dhiman</w:t>
      </w:r>
      <w:proofErr w:type="spellEnd"/>
      <w:r w:rsidRPr="009B1965">
        <w:rPr>
          <w:rFonts w:ascii="Arial" w:hAnsi="Arial" w:cs="Arial"/>
          <w:color w:val="000000"/>
          <w:sz w:val="20"/>
          <w:szCs w:val="20"/>
          <w:lang w:val="en-US"/>
        </w:rPr>
        <w:t xml:space="preserve"> V, </w:t>
      </w:r>
      <w:proofErr w:type="spellStart"/>
      <w:r w:rsidRPr="009B1965">
        <w:rPr>
          <w:rFonts w:ascii="Arial" w:hAnsi="Arial" w:cs="Arial"/>
          <w:color w:val="000000"/>
          <w:sz w:val="20"/>
          <w:szCs w:val="20"/>
          <w:lang w:val="en-US"/>
        </w:rPr>
        <w:t>Sinha</w:t>
      </w:r>
      <w:proofErr w:type="spellEnd"/>
      <w:r w:rsidRPr="009B1965">
        <w:rPr>
          <w:rFonts w:ascii="Arial" w:hAnsi="Arial" w:cs="Arial"/>
          <w:color w:val="000000"/>
          <w:sz w:val="20"/>
          <w:szCs w:val="20"/>
          <w:lang w:val="en-US"/>
        </w:rPr>
        <w:t xml:space="preserve"> S, </w:t>
      </w:r>
      <w:proofErr w:type="spellStart"/>
      <w:r w:rsidRPr="009B1965">
        <w:rPr>
          <w:rFonts w:ascii="Arial" w:hAnsi="Arial" w:cs="Arial"/>
          <w:color w:val="000000"/>
          <w:sz w:val="20"/>
          <w:szCs w:val="20"/>
          <w:lang w:val="en-US"/>
        </w:rPr>
        <w:t>Rawat</w:t>
      </w:r>
      <w:proofErr w:type="spellEnd"/>
      <w:r w:rsidRPr="009B1965">
        <w:rPr>
          <w:rFonts w:ascii="Arial" w:hAnsi="Arial" w:cs="Arial"/>
          <w:color w:val="000000"/>
          <w:sz w:val="20"/>
          <w:szCs w:val="20"/>
          <w:lang w:val="en-US"/>
        </w:rPr>
        <w:t xml:space="preserve"> VS, Harish T, </w:t>
      </w:r>
      <w:proofErr w:type="spellStart"/>
      <w:r w:rsidRPr="009B1965">
        <w:rPr>
          <w:rFonts w:ascii="Arial" w:hAnsi="Arial" w:cs="Arial"/>
          <w:color w:val="000000"/>
          <w:sz w:val="20"/>
          <w:szCs w:val="20"/>
          <w:lang w:val="en-US"/>
        </w:rPr>
        <w:t>Chaturvedi</w:t>
      </w:r>
      <w:proofErr w:type="spellEnd"/>
      <w:r w:rsidRPr="009B1965">
        <w:rPr>
          <w:rFonts w:ascii="Arial" w:hAnsi="Arial" w:cs="Arial"/>
          <w:color w:val="000000"/>
          <w:sz w:val="20"/>
          <w:szCs w:val="20"/>
          <w:lang w:val="en-US"/>
        </w:rPr>
        <w:t xml:space="preserve"> SK, </w:t>
      </w:r>
      <w:proofErr w:type="spellStart"/>
      <w:r w:rsidRPr="009B1965">
        <w:rPr>
          <w:rFonts w:ascii="Arial" w:hAnsi="Arial" w:cs="Arial"/>
          <w:color w:val="000000"/>
          <w:sz w:val="20"/>
          <w:szCs w:val="20"/>
          <w:lang w:val="en-US"/>
        </w:rPr>
        <w:t>Satishchandra</w:t>
      </w:r>
      <w:proofErr w:type="spellEnd"/>
      <w:r w:rsidRPr="009B1965">
        <w:rPr>
          <w:rFonts w:ascii="Arial" w:hAnsi="Arial" w:cs="Arial"/>
          <w:color w:val="000000"/>
          <w:sz w:val="20"/>
          <w:szCs w:val="20"/>
          <w:lang w:val="en-US"/>
        </w:rPr>
        <w:t xml:space="preserve"> P. </w:t>
      </w:r>
      <w:proofErr w:type="spellStart"/>
      <w:r w:rsidRPr="009B1965">
        <w:rPr>
          <w:rFonts w:ascii="Arial" w:hAnsi="Arial" w:cs="Arial"/>
          <w:color w:val="000000"/>
          <w:sz w:val="20"/>
          <w:szCs w:val="20"/>
          <w:lang w:val="en-US"/>
        </w:rPr>
        <w:t>Semiological</w:t>
      </w:r>
      <w:proofErr w:type="spellEnd"/>
      <w:r w:rsidRPr="009B1965">
        <w:rPr>
          <w:rFonts w:ascii="Arial" w:hAnsi="Arial" w:cs="Arial"/>
          <w:color w:val="000000"/>
          <w:sz w:val="20"/>
          <w:szCs w:val="20"/>
          <w:lang w:val="en-US"/>
        </w:rPr>
        <w:t xml:space="preserve"> characteristics of adults with psychogenic </w:t>
      </w:r>
      <w:proofErr w:type="spellStart"/>
      <w:r w:rsidRPr="009B1965">
        <w:rPr>
          <w:rFonts w:ascii="Arial" w:hAnsi="Arial" w:cs="Arial"/>
          <w:color w:val="000000"/>
          <w:sz w:val="20"/>
          <w:szCs w:val="20"/>
          <w:lang w:val="en-US"/>
        </w:rPr>
        <w:t>nonepileptic</w:t>
      </w:r>
      <w:proofErr w:type="spellEnd"/>
      <w:r w:rsidRPr="009B1965">
        <w:rPr>
          <w:rFonts w:ascii="Arial" w:hAnsi="Arial" w:cs="Arial"/>
          <w:color w:val="000000"/>
          <w:sz w:val="20"/>
          <w:szCs w:val="20"/>
          <w:lang w:val="en-US"/>
        </w:rPr>
        <w:t xml:space="preserve"> seizures (PNESs): an attempt towards a new classification. </w:t>
      </w:r>
      <w:r w:rsidRPr="009B1965">
        <w:rPr>
          <w:rFonts w:ascii="Arial" w:hAnsi="Arial" w:cs="Arial"/>
          <w:i/>
          <w:color w:val="000000"/>
          <w:sz w:val="20"/>
          <w:szCs w:val="20"/>
          <w:lang w:val="en-US"/>
        </w:rPr>
        <w:t xml:space="preserve">Epilepsy </w:t>
      </w:r>
      <w:proofErr w:type="spellStart"/>
      <w:r w:rsidRPr="009B1965">
        <w:rPr>
          <w:rFonts w:ascii="Arial" w:hAnsi="Arial" w:cs="Arial"/>
          <w:i/>
          <w:color w:val="000000"/>
          <w:sz w:val="20"/>
          <w:szCs w:val="20"/>
          <w:lang w:val="en-US"/>
        </w:rPr>
        <w:t>Behav</w:t>
      </w:r>
      <w:proofErr w:type="spellEnd"/>
      <w:r w:rsidRPr="009B1965">
        <w:rPr>
          <w:rFonts w:ascii="Arial" w:hAnsi="Arial" w:cs="Arial"/>
          <w:color w:val="000000"/>
          <w:sz w:val="20"/>
          <w:szCs w:val="20"/>
          <w:lang w:val="en-US"/>
        </w:rPr>
        <w:t xml:space="preserve"> </w:t>
      </w:r>
      <w:r w:rsidRPr="009B1965">
        <w:rPr>
          <w:rFonts w:ascii="Arial" w:hAnsi="Arial" w:cs="Arial"/>
          <w:i/>
          <w:color w:val="000000"/>
          <w:sz w:val="20"/>
          <w:szCs w:val="20"/>
          <w:lang w:val="en-US"/>
        </w:rPr>
        <w:t>2013</w:t>
      </w:r>
      <w:proofErr w:type="gramStart"/>
      <w:r w:rsidRPr="009B1965">
        <w:rPr>
          <w:rFonts w:ascii="Arial" w:hAnsi="Arial" w:cs="Arial"/>
          <w:color w:val="000000"/>
          <w:sz w:val="20"/>
          <w:szCs w:val="20"/>
          <w:lang w:val="en-US"/>
        </w:rPr>
        <w:t>;27</w:t>
      </w:r>
      <w:proofErr w:type="gramEnd"/>
      <w:r w:rsidRPr="009B1965">
        <w:rPr>
          <w:rFonts w:ascii="Arial" w:hAnsi="Arial" w:cs="Arial"/>
          <w:color w:val="000000"/>
          <w:sz w:val="20"/>
          <w:szCs w:val="20"/>
          <w:lang w:val="en-US"/>
        </w:rPr>
        <w:t xml:space="preserve">(3):427-32. </w:t>
      </w:r>
    </w:p>
    <w:p w:rsidR="009133E7" w:rsidRPr="009B1965" w:rsidRDefault="009133E7" w:rsidP="009A41C3">
      <w:pPr>
        <w:spacing w:afterLines="100" w:after="240" w:line="240" w:lineRule="auto"/>
        <w:jc w:val="both"/>
        <w:rPr>
          <w:rFonts w:ascii="Arial" w:hAnsi="Arial" w:cs="Arial"/>
          <w:sz w:val="20"/>
          <w:szCs w:val="20"/>
          <w:lang w:val="en-US"/>
        </w:rPr>
      </w:pPr>
      <w:r w:rsidRPr="009B1965">
        <w:rPr>
          <w:rFonts w:ascii="Arial" w:hAnsi="Arial" w:cs="Arial"/>
          <w:sz w:val="20"/>
          <w:szCs w:val="20"/>
          <w:lang w:val="en-US"/>
        </w:rPr>
        <w:t xml:space="preserve">29. </w:t>
      </w:r>
      <w:proofErr w:type="spellStart"/>
      <w:r w:rsidRPr="009B1965">
        <w:rPr>
          <w:rFonts w:ascii="Arial" w:hAnsi="Arial" w:cs="Arial"/>
          <w:sz w:val="20"/>
          <w:szCs w:val="20"/>
          <w:lang w:val="en-US"/>
        </w:rPr>
        <w:t>Kanaan</w:t>
      </w:r>
      <w:proofErr w:type="spellEnd"/>
      <w:r w:rsidRPr="009B1965">
        <w:rPr>
          <w:rFonts w:ascii="Arial" w:hAnsi="Arial" w:cs="Arial"/>
          <w:sz w:val="20"/>
          <w:szCs w:val="20"/>
          <w:lang w:val="en-US"/>
        </w:rPr>
        <w:t xml:space="preserve"> RAA, Duncan R, Goldstein LH, </w:t>
      </w:r>
      <w:proofErr w:type="spellStart"/>
      <w:r w:rsidRPr="009B1965">
        <w:rPr>
          <w:rFonts w:ascii="Arial" w:hAnsi="Arial" w:cs="Arial"/>
          <w:sz w:val="20"/>
          <w:szCs w:val="20"/>
          <w:lang w:val="en-US"/>
        </w:rPr>
        <w:t>Jankovic</w:t>
      </w:r>
      <w:proofErr w:type="spellEnd"/>
      <w:r w:rsidRPr="009B1965">
        <w:rPr>
          <w:rFonts w:ascii="Arial" w:hAnsi="Arial" w:cs="Arial"/>
          <w:sz w:val="20"/>
          <w:szCs w:val="20"/>
          <w:lang w:val="en-US"/>
        </w:rPr>
        <w:t xml:space="preserve"> J, </w:t>
      </w:r>
      <w:proofErr w:type="spellStart"/>
      <w:r w:rsidRPr="009B1965">
        <w:rPr>
          <w:rFonts w:ascii="Arial" w:hAnsi="Arial" w:cs="Arial"/>
          <w:sz w:val="20"/>
          <w:szCs w:val="20"/>
          <w:lang w:val="en-US"/>
        </w:rPr>
        <w:t>Cavanna</w:t>
      </w:r>
      <w:proofErr w:type="spellEnd"/>
      <w:r w:rsidRPr="009B1965">
        <w:rPr>
          <w:rFonts w:ascii="Arial" w:hAnsi="Arial" w:cs="Arial"/>
          <w:sz w:val="20"/>
          <w:szCs w:val="20"/>
          <w:lang w:val="en-US"/>
        </w:rPr>
        <w:t xml:space="preserve"> AE. Are psychogenic non-epileptic seizures just another symptom of conversion disorder</w:t>
      </w:r>
      <w:proofErr w:type="gramStart"/>
      <w:r w:rsidRPr="009B1965">
        <w:rPr>
          <w:rFonts w:ascii="Arial" w:hAnsi="Arial" w:cs="Arial"/>
          <w:sz w:val="20"/>
          <w:szCs w:val="20"/>
          <w:lang w:val="en-US"/>
        </w:rPr>
        <w:t>? .</w:t>
      </w:r>
      <w:proofErr w:type="gramEnd"/>
      <w:r w:rsidRPr="009B1965">
        <w:rPr>
          <w:rFonts w:ascii="Arial" w:hAnsi="Arial" w:cs="Arial"/>
          <w:sz w:val="20"/>
          <w:szCs w:val="20"/>
          <w:lang w:val="en-US"/>
        </w:rPr>
        <w:t xml:space="preserve"> </w:t>
      </w:r>
      <w:r w:rsidRPr="009B1965">
        <w:rPr>
          <w:rFonts w:ascii="Arial" w:hAnsi="Arial" w:cs="Arial"/>
          <w:i/>
          <w:sz w:val="20"/>
          <w:szCs w:val="20"/>
          <w:lang w:val="en-US"/>
        </w:rPr>
        <w:t xml:space="preserve">J </w:t>
      </w:r>
      <w:proofErr w:type="spellStart"/>
      <w:r w:rsidRPr="009B1965">
        <w:rPr>
          <w:rFonts w:ascii="Arial" w:hAnsi="Arial" w:cs="Arial"/>
          <w:i/>
          <w:sz w:val="20"/>
          <w:szCs w:val="20"/>
          <w:lang w:val="en-US"/>
        </w:rPr>
        <w:t>Neurol</w:t>
      </w:r>
      <w:proofErr w:type="spellEnd"/>
      <w:r w:rsidRPr="009B1965">
        <w:rPr>
          <w:rFonts w:ascii="Arial" w:hAnsi="Arial" w:cs="Arial"/>
          <w:i/>
          <w:sz w:val="20"/>
          <w:szCs w:val="20"/>
          <w:lang w:val="en-US"/>
        </w:rPr>
        <w:t xml:space="preserve"> </w:t>
      </w:r>
      <w:proofErr w:type="spellStart"/>
      <w:r w:rsidRPr="009B1965">
        <w:rPr>
          <w:rFonts w:ascii="Arial" w:hAnsi="Arial" w:cs="Arial"/>
          <w:i/>
          <w:sz w:val="20"/>
          <w:szCs w:val="20"/>
          <w:lang w:val="en-US"/>
        </w:rPr>
        <w:t>Neurosurg</w:t>
      </w:r>
      <w:proofErr w:type="spellEnd"/>
      <w:r w:rsidRPr="009B1965">
        <w:rPr>
          <w:rFonts w:ascii="Arial" w:hAnsi="Arial" w:cs="Arial"/>
          <w:i/>
          <w:sz w:val="20"/>
          <w:szCs w:val="20"/>
          <w:lang w:val="en-US"/>
        </w:rPr>
        <w:t xml:space="preserve"> Psychiatry 2017;</w:t>
      </w:r>
      <w:r w:rsidRPr="009B1965">
        <w:rPr>
          <w:rFonts w:ascii="Arial" w:hAnsi="Arial" w:cs="Arial"/>
          <w:sz w:val="20"/>
          <w:szCs w:val="20"/>
          <w:lang w:val="en-US"/>
        </w:rPr>
        <w:t xml:space="preserve"> May; 88(5):425-9. </w:t>
      </w:r>
      <w:proofErr w:type="spellStart"/>
      <w:proofErr w:type="gramStart"/>
      <w:r w:rsidRPr="009B1965">
        <w:rPr>
          <w:rFonts w:ascii="Arial" w:hAnsi="Arial" w:cs="Arial"/>
          <w:sz w:val="20"/>
          <w:szCs w:val="20"/>
          <w:lang w:val="en-US"/>
        </w:rPr>
        <w:t>doi</w:t>
      </w:r>
      <w:proofErr w:type="spellEnd"/>
      <w:proofErr w:type="gramEnd"/>
      <w:r w:rsidRPr="009B1965">
        <w:rPr>
          <w:rFonts w:ascii="Arial" w:hAnsi="Arial" w:cs="Arial"/>
          <w:sz w:val="20"/>
          <w:szCs w:val="20"/>
          <w:lang w:val="en-US"/>
        </w:rPr>
        <w:t xml:space="preserve">: 10.1136/jnnp-2017-315639. </w:t>
      </w:r>
      <w:proofErr w:type="spellStart"/>
      <w:r w:rsidRPr="009B1965">
        <w:rPr>
          <w:rFonts w:ascii="Arial" w:hAnsi="Arial" w:cs="Arial"/>
          <w:sz w:val="20"/>
          <w:szCs w:val="20"/>
          <w:lang w:val="en-US"/>
        </w:rPr>
        <w:t>Epub</w:t>
      </w:r>
      <w:proofErr w:type="spellEnd"/>
      <w:r w:rsidRPr="009B1965">
        <w:rPr>
          <w:rFonts w:ascii="Arial" w:hAnsi="Arial" w:cs="Arial"/>
          <w:sz w:val="20"/>
          <w:szCs w:val="20"/>
          <w:lang w:val="en-US"/>
        </w:rPr>
        <w:t xml:space="preserve"> 2017 Feb 24.</w:t>
      </w:r>
    </w:p>
    <w:p w:rsidR="009133E7" w:rsidRPr="009B1965" w:rsidRDefault="009133E7" w:rsidP="009A41C3">
      <w:pPr>
        <w:tabs>
          <w:tab w:val="left" w:pos="916"/>
          <w:tab w:val="left" w:pos="1832"/>
          <w:tab w:val="left" w:pos="2748"/>
          <w:tab w:val="left" w:pos="3664"/>
          <w:tab w:val="left" w:pos="4580"/>
          <w:tab w:val="left" w:pos="5496"/>
          <w:tab w:val="left" w:pos="6412"/>
          <w:tab w:val="left" w:pos="7328"/>
          <w:tab w:val="left" w:pos="7938"/>
          <w:tab w:val="left" w:pos="9160"/>
          <w:tab w:val="left" w:pos="10076"/>
          <w:tab w:val="left" w:pos="10992"/>
          <w:tab w:val="left" w:pos="11908"/>
          <w:tab w:val="left" w:pos="12824"/>
          <w:tab w:val="left" w:pos="13740"/>
          <w:tab w:val="left" w:pos="14656"/>
        </w:tabs>
        <w:spacing w:afterLines="100" w:after="240" w:line="240" w:lineRule="auto"/>
        <w:contextualSpacing/>
        <w:jc w:val="both"/>
        <w:rPr>
          <w:rFonts w:ascii="Arial" w:eastAsia="Times New Roman" w:hAnsi="Arial" w:cs="Arial"/>
          <w:sz w:val="20"/>
          <w:szCs w:val="20"/>
          <w:lang w:val="en-US" w:eastAsia="es-ES"/>
        </w:rPr>
      </w:pPr>
    </w:p>
    <w:p w:rsidR="009133E7" w:rsidRPr="009B1965" w:rsidRDefault="009133E7" w:rsidP="009A41C3">
      <w:pPr>
        <w:spacing w:afterLines="100" w:after="240" w:line="240" w:lineRule="auto"/>
        <w:jc w:val="both"/>
        <w:rPr>
          <w:rFonts w:ascii="Arial" w:hAnsi="Arial" w:cs="Arial"/>
          <w:sz w:val="20"/>
          <w:szCs w:val="20"/>
          <w:lang w:val="en-US"/>
        </w:rPr>
      </w:pPr>
      <w:r w:rsidRPr="009B1965">
        <w:rPr>
          <w:rFonts w:ascii="Arial" w:hAnsi="Arial" w:cs="Arial"/>
          <w:sz w:val="20"/>
          <w:szCs w:val="20"/>
          <w:lang w:val="en-US"/>
        </w:rPr>
        <w:t xml:space="preserve">30. </w:t>
      </w:r>
      <w:proofErr w:type="spellStart"/>
      <w:r w:rsidRPr="009B1965">
        <w:rPr>
          <w:rFonts w:ascii="Arial" w:hAnsi="Arial" w:cs="Arial"/>
          <w:sz w:val="20"/>
          <w:szCs w:val="20"/>
          <w:lang w:val="en-US"/>
        </w:rPr>
        <w:t>Basheikh</w:t>
      </w:r>
      <w:proofErr w:type="spellEnd"/>
      <w:r w:rsidRPr="009B1965">
        <w:rPr>
          <w:rFonts w:ascii="Arial" w:hAnsi="Arial" w:cs="Arial"/>
          <w:sz w:val="20"/>
          <w:szCs w:val="20"/>
          <w:lang w:val="en-US"/>
        </w:rPr>
        <w:t xml:space="preserve"> M. Case report: Epilepsy surgical outcome for epileptic and non-epileptic seizures with posttraumatic stress disorder and depression. </w:t>
      </w:r>
      <w:r w:rsidRPr="009B1965">
        <w:rPr>
          <w:rFonts w:ascii="Arial" w:hAnsi="Arial" w:cs="Arial"/>
          <w:i/>
          <w:sz w:val="20"/>
          <w:szCs w:val="20"/>
          <w:lang w:val="en-US"/>
        </w:rPr>
        <w:t xml:space="preserve">Epilepsy </w:t>
      </w:r>
      <w:proofErr w:type="spellStart"/>
      <w:r w:rsidRPr="009B1965">
        <w:rPr>
          <w:rFonts w:ascii="Arial" w:hAnsi="Arial" w:cs="Arial"/>
          <w:i/>
          <w:sz w:val="20"/>
          <w:szCs w:val="20"/>
          <w:lang w:val="en-US"/>
        </w:rPr>
        <w:t>Behav</w:t>
      </w:r>
      <w:proofErr w:type="spellEnd"/>
      <w:r w:rsidRPr="009B1965">
        <w:rPr>
          <w:rFonts w:ascii="Arial" w:hAnsi="Arial" w:cs="Arial"/>
          <w:i/>
          <w:sz w:val="20"/>
          <w:szCs w:val="20"/>
          <w:lang w:val="en-US"/>
        </w:rPr>
        <w:t xml:space="preserve"> Case Rep 2017;</w:t>
      </w:r>
      <w:r w:rsidRPr="009B1965">
        <w:rPr>
          <w:rFonts w:ascii="Arial" w:hAnsi="Arial" w:cs="Arial"/>
          <w:sz w:val="20"/>
          <w:szCs w:val="20"/>
          <w:lang w:val="en-US"/>
        </w:rPr>
        <w:t xml:space="preserve"> 20(8):14-17. </w:t>
      </w:r>
      <w:proofErr w:type="spellStart"/>
      <w:proofErr w:type="gramStart"/>
      <w:r w:rsidRPr="009B1965">
        <w:rPr>
          <w:rFonts w:ascii="Arial" w:hAnsi="Arial" w:cs="Arial"/>
          <w:sz w:val="20"/>
          <w:szCs w:val="20"/>
          <w:lang w:val="en-US"/>
        </w:rPr>
        <w:t>doi</w:t>
      </w:r>
      <w:proofErr w:type="spellEnd"/>
      <w:proofErr w:type="gramEnd"/>
      <w:r w:rsidRPr="009B1965">
        <w:rPr>
          <w:rFonts w:ascii="Arial" w:hAnsi="Arial" w:cs="Arial"/>
          <w:sz w:val="20"/>
          <w:szCs w:val="20"/>
          <w:lang w:val="en-US"/>
        </w:rPr>
        <w:t xml:space="preserve">: 10.1016/j.ebcr.2017.05.001. </w:t>
      </w:r>
      <w:proofErr w:type="spellStart"/>
      <w:proofErr w:type="gramStart"/>
      <w:r w:rsidRPr="009B1965">
        <w:rPr>
          <w:rFonts w:ascii="Arial" w:hAnsi="Arial" w:cs="Arial"/>
          <w:sz w:val="20"/>
          <w:szCs w:val="20"/>
          <w:lang w:val="en-US"/>
        </w:rPr>
        <w:t>eCollection</w:t>
      </w:r>
      <w:proofErr w:type="spellEnd"/>
      <w:proofErr w:type="gramEnd"/>
      <w:r w:rsidRPr="009B1965">
        <w:rPr>
          <w:rFonts w:ascii="Arial" w:hAnsi="Arial" w:cs="Arial"/>
          <w:sz w:val="20"/>
          <w:szCs w:val="20"/>
          <w:lang w:val="en-US"/>
        </w:rPr>
        <w:t xml:space="preserve"> 2017.</w:t>
      </w:r>
    </w:p>
    <w:p w:rsidR="009133E7" w:rsidRPr="009B1965" w:rsidRDefault="009133E7" w:rsidP="009A41C3">
      <w:pPr>
        <w:tabs>
          <w:tab w:val="left" w:pos="916"/>
          <w:tab w:val="left" w:pos="1832"/>
          <w:tab w:val="left" w:pos="2748"/>
          <w:tab w:val="left" w:pos="3664"/>
          <w:tab w:val="left" w:pos="4580"/>
          <w:tab w:val="left" w:pos="5496"/>
          <w:tab w:val="left" w:pos="6412"/>
          <w:tab w:val="left" w:pos="7328"/>
          <w:tab w:val="left" w:pos="7938"/>
          <w:tab w:val="left" w:pos="9160"/>
          <w:tab w:val="left" w:pos="10076"/>
          <w:tab w:val="left" w:pos="10992"/>
          <w:tab w:val="left" w:pos="11908"/>
          <w:tab w:val="left" w:pos="12824"/>
          <w:tab w:val="left" w:pos="13740"/>
          <w:tab w:val="left" w:pos="14656"/>
        </w:tabs>
        <w:spacing w:afterLines="100" w:after="240" w:line="240" w:lineRule="auto"/>
        <w:contextualSpacing/>
        <w:jc w:val="both"/>
        <w:rPr>
          <w:rFonts w:ascii="Arial" w:eastAsia="Times New Roman" w:hAnsi="Arial" w:cs="Arial"/>
          <w:sz w:val="20"/>
          <w:szCs w:val="20"/>
          <w:lang w:val="en-US" w:eastAsia="es-ES"/>
        </w:rPr>
      </w:pPr>
    </w:p>
    <w:p w:rsidR="009133E7" w:rsidRPr="009B1965" w:rsidRDefault="009133E7" w:rsidP="009A41C3">
      <w:pPr>
        <w:autoSpaceDE w:val="0"/>
        <w:autoSpaceDN w:val="0"/>
        <w:adjustRightInd w:val="0"/>
        <w:spacing w:afterLines="100" w:after="240" w:line="240" w:lineRule="auto"/>
        <w:jc w:val="both"/>
        <w:rPr>
          <w:rFonts w:ascii="Arial" w:hAnsi="Arial" w:cs="Arial"/>
          <w:sz w:val="20"/>
          <w:szCs w:val="20"/>
          <w:lang w:val="en-US" w:eastAsia="es-ES"/>
        </w:rPr>
      </w:pPr>
      <w:r w:rsidRPr="009B1965">
        <w:rPr>
          <w:rFonts w:ascii="Arial" w:hAnsi="Arial" w:cs="Arial"/>
          <w:sz w:val="20"/>
          <w:szCs w:val="20"/>
          <w:lang w:val="en-US"/>
        </w:rPr>
        <w:t xml:space="preserve">31. </w:t>
      </w:r>
      <w:proofErr w:type="spellStart"/>
      <w:r w:rsidRPr="009B1965">
        <w:rPr>
          <w:rFonts w:ascii="Arial" w:hAnsi="Arial" w:cs="Arial"/>
          <w:sz w:val="20"/>
          <w:szCs w:val="20"/>
          <w:lang w:val="en-US"/>
        </w:rPr>
        <w:t>Asadi-Pooya</w:t>
      </w:r>
      <w:proofErr w:type="spellEnd"/>
      <w:r w:rsidRPr="009B1965">
        <w:rPr>
          <w:rFonts w:ascii="Arial" w:hAnsi="Arial" w:cs="Arial"/>
          <w:sz w:val="20"/>
          <w:szCs w:val="20"/>
          <w:lang w:val="en-US"/>
        </w:rPr>
        <w:t xml:space="preserve"> AA, Tinker J, </w:t>
      </w:r>
      <w:proofErr w:type="spellStart"/>
      <w:r w:rsidRPr="009B1965">
        <w:rPr>
          <w:rFonts w:ascii="Arial" w:hAnsi="Arial" w:cs="Arial"/>
          <w:sz w:val="20"/>
          <w:szCs w:val="20"/>
          <w:lang w:val="en-US"/>
        </w:rPr>
        <w:t>Fletman</w:t>
      </w:r>
      <w:proofErr w:type="spellEnd"/>
      <w:r w:rsidRPr="009B1965">
        <w:rPr>
          <w:rFonts w:ascii="Arial" w:hAnsi="Arial" w:cs="Arial"/>
          <w:sz w:val="20"/>
          <w:szCs w:val="20"/>
          <w:lang w:val="en-US"/>
        </w:rPr>
        <w:t xml:space="preserve"> E. </w:t>
      </w:r>
      <w:proofErr w:type="spellStart"/>
      <w:r w:rsidRPr="009B1965">
        <w:rPr>
          <w:rFonts w:ascii="Arial" w:hAnsi="Arial" w:cs="Arial"/>
          <w:sz w:val="20"/>
          <w:szCs w:val="20"/>
          <w:lang w:val="en-US"/>
        </w:rPr>
        <w:t>Semiological</w:t>
      </w:r>
      <w:proofErr w:type="spellEnd"/>
      <w:r w:rsidRPr="009B1965">
        <w:rPr>
          <w:rFonts w:ascii="Arial" w:hAnsi="Arial" w:cs="Arial"/>
          <w:sz w:val="20"/>
          <w:szCs w:val="20"/>
          <w:lang w:val="en-US"/>
        </w:rPr>
        <w:t xml:space="preserve"> classification of psychogenic </w:t>
      </w:r>
      <w:proofErr w:type="spellStart"/>
      <w:r w:rsidRPr="009B1965">
        <w:rPr>
          <w:rFonts w:ascii="Arial" w:hAnsi="Arial" w:cs="Arial"/>
          <w:sz w:val="20"/>
          <w:szCs w:val="20"/>
          <w:lang w:val="en-US"/>
        </w:rPr>
        <w:t>nonepileptic</w:t>
      </w:r>
      <w:proofErr w:type="spellEnd"/>
      <w:r w:rsidRPr="009B1965">
        <w:rPr>
          <w:rFonts w:ascii="Arial" w:hAnsi="Arial" w:cs="Arial"/>
          <w:sz w:val="20"/>
          <w:szCs w:val="20"/>
          <w:lang w:val="en-US"/>
        </w:rPr>
        <w:t xml:space="preserve"> seizures.  </w:t>
      </w:r>
      <w:r w:rsidRPr="009B1965">
        <w:rPr>
          <w:rFonts w:ascii="Arial" w:hAnsi="Arial" w:cs="Arial"/>
          <w:i/>
          <w:sz w:val="20"/>
          <w:szCs w:val="20"/>
          <w:lang w:val="en-US"/>
        </w:rPr>
        <w:t xml:space="preserve">Epilepsy </w:t>
      </w:r>
      <w:proofErr w:type="spellStart"/>
      <w:r w:rsidRPr="009B1965">
        <w:rPr>
          <w:rFonts w:ascii="Arial" w:hAnsi="Arial" w:cs="Arial"/>
          <w:i/>
          <w:sz w:val="20"/>
          <w:szCs w:val="20"/>
          <w:lang w:val="en-US"/>
        </w:rPr>
        <w:t>Behav</w:t>
      </w:r>
      <w:proofErr w:type="spellEnd"/>
      <w:r w:rsidRPr="009B1965">
        <w:rPr>
          <w:rFonts w:ascii="Arial" w:hAnsi="Arial" w:cs="Arial"/>
          <w:i/>
          <w:sz w:val="20"/>
          <w:szCs w:val="20"/>
          <w:lang w:val="en-US"/>
        </w:rPr>
        <w:t xml:space="preserve"> 2016;</w:t>
      </w:r>
      <w:r w:rsidRPr="009B1965">
        <w:rPr>
          <w:rFonts w:ascii="Arial" w:hAnsi="Arial" w:cs="Arial"/>
          <w:sz w:val="20"/>
          <w:szCs w:val="20"/>
          <w:lang w:val="en-US"/>
        </w:rPr>
        <w:t xml:space="preserve"> Nov; 64(</w:t>
      </w:r>
      <w:proofErr w:type="spellStart"/>
      <w:r w:rsidRPr="009B1965">
        <w:rPr>
          <w:rFonts w:ascii="Arial" w:hAnsi="Arial" w:cs="Arial"/>
          <w:sz w:val="20"/>
          <w:szCs w:val="20"/>
          <w:lang w:val="en-US"/>
        </w:rPr>
        <w:t>Pt</w:t>
      </w:r>
      <w:proofErr w:type="spellEnd"/>
      <w:r w:rsidRPr="009B1965">
        <w:rPr>
          <w:rFonts w:ascii="Arial" w:hAnsi="Arial" w:cs="Arial"/>
          <w:sz w:val="20"/>
          <w:szCs w:val="20"/>
          <w:lang w:val="en-US"/>
        </w:rPr>
        <w:t xml:space="preserve"> A):1-3. </w:t>
      </w:r>
      <w:proofErr w:type="spellStart"/>
      <w:proofErr w:type="gramStart"/>
      <w:r w:rsidRPr="009B1965">
        <w:rPr>
          <w:rFonts w:ascii="Arial" w:hAnsi="Arial" w:cs="Arial"/>
          <w:sz w:val="20"/>
          <w:szCs w:val="20"/>
          <w:lang w:val="en-US"/>
        </w:rPr>
        <w:t>doi</w:t>
      </w:r>
      <w:proofErr w:type="spellEnd"/>
      <w:proofErr w:type="gramEnd"/>
      <w:r w:rsidRPr="009B1965">
        <w:rPr>
          <w:rFonts w:ascii="Arial" w:hAnsi="Arial" w:cs="Arial"/>
          <w:sz w:val="20"/>
          <w:szCs w:val="20"/>
          <w:lang w:val="en-US"/>
        </w:rPr>
        <w:t xml:space="preserve">: 10.1016/j.yebeh.2016.09.010. </w:t>
      </w:r>
    </w:p>
    <w:p w:rsidR="009133E7" w:rsidRPr="009B1965" w:rsidRDefault="009133E7" w:rsidP="009A41C3">
      <w:pPr>
        <w:autoSpaceDE w:val="0"/>
        <w:autoSpaceDN w:val="0"/>
        <w:adjustRightInd w:val="0"/>
        <w:spacing w:afterLines="100" w:after="240" w:line="240" w:lineRule="auto"/>
        <w:jc w:val="both"/>
        <w:rPr>
          <w:rFonts w:ascii="Arial" w:hAnsi="Arial" w:cs="Arial"/>
          <w:sz w:val="20"/>
          <w:szCs w:val="20"/>
          <w:lang w:eastAsia="es-ES"/>
        </w:rPr>
      </w:pPr>
      <w:r w:rsidRPr="009B1965">
        <w:rPr>
          <w:rFonts w:ascii="Arial" w:hAnsi="Arial" w:cs="Arial"/>
          <w:sz w:val="20"/>
          <w:szCs w:val="20"/>
          <w:lang w:val="en-US" w:eastAsia="es-ES"/>
        </w:rPr>
        <w:t xml:space="preserve">32. </w:t>
      </w:r>
      <w:proofErr w:type="spellStart"/>
      <w:r w:rsidRPr="009B1965">
        <w:rPr>
          <w:rFonts w:ascii="Arial" w:hAnsi="Arial" w:cs="Arial"/>
          <w:sz w:val="20"/>
          <w:szCs w:val="20"/>
          <w:lang w:val="en-US" w:eastAsia="es-ES"/>
        </w:rPr>
        <w:t>Kihlstrom</w:t>
      </w:r>
      <w:proofErr w:type="spellEnd"/>
      <w:r w:rsidRPr="009B1965">
        <w:rPr>
          <w:rFonts w:ascii="Arial" w:hAnsi="Arial" w:cs="Arial"/>
          <w:sz w:val="20"/>
          <w:szCs w:val="20"/>
          <w:lang w:val="en-US" w:eastAsia="es-ES"/>
        </w:rPr>
        <w:t xml:space="preserve"> J F, </w:t>
      </w:r>
      <w:proofErr w:type="spellStart"/>
      <w:r w:rsidRPr="009B1965">
        <w:rPr>
          <w:rFonts w:ascii="Arial" w:hAnsi="Arial" w:cs="Arial"/>
          <w:sz w:val="20"/>
          <w:szCs w:val="20"/>
          <w:lang w:val="en-US" w:eastAsia="es-ES"/>
        </w:rPr>
        <w:t>Glisky</w:t>
      </w:r>
      <w:proofErr w:type="spellEnd"/>
      <w:r w:rsidRPr="009B1965">
        <w:rPr>
          <w:rFonts w:ascii="Arial" w:hAnsi="Arial" w:cs="Arial"/>
          <w:sz w:val="20"/>
          <w:szCs w:val="20"/>
          <w:lang w:val="en-US" w:eastAsia="es-ES"/>
        </w:rPr>
        <w:t xml:space="preserve"> M L, </w:t>
      </w:r>
      <w:proofErr w:type="spellStart"/>
      <w:r w:rsidRPr="009B1965">
        <w:rPr>
          <w:rFonts w:ascii="Arial" w:hAnsi="Arial" w:cs="Arial"/>
          <w:sz w:val="20"/>
          <w:szCs w:val="20"/>
          <w:lang w:val="en-US" w:eastAsia="es-ES"/>
        </w:rPr>
        <w:t>Angiulo</w:t>
      </w:r>
      <w:proofErr w:type="spellEnd"/>
      <w:r w:rsidRPr="009B1965">
        <w:rPr>
          <w:rFonts w:ascii="Arial" w:hAnsi="Arial" w:cs="Arial"/>
          <w:sz w:val="20"/>
          <w:szCs w:val="20"/>
          <w:lang w:val="en-US" w:eastAsia="es-ES"/>
        </w:rPr>
        <w:t xml:space="preserve"> M J. Dissociative tendencies and dissociative disorders. </w:t>
      </w:r>
      <w:proofErr w:type="spellStart"/>
      <w:r w:rsidRPr="009B1965">
        <w:rPr>
          <w:rFonts w:ascii="Arial" w:hAnsi="Arial" w:cs="Arial"/>
          <w:i/>
          <w:iCs/>
          <w:sz w:val="20"/>
          <w:szCs w:val="20"/>
          <w:lang w:eastAsia="es-ES"/>
        </w:rPr>
        <w:t>Journal</w:t>
      </w:r>
      <w:proofErr w:type="spellEnd"/>
      <w:r w:rsidRPr="009B1965">
        <w:rPr>
          <w:rFonts w:ascii="Arial" w:hAnsi="Arial" w:cs="Arial"/>
          <w:i/>
          <w:iCs/>
          <w:sz w:val="20"/>
          <w:szCs w:val="20"/>
          <w:lang w:eastAsia="es-ES"/>
        </w:rPr>
        <w:t xml:space="preserve"> of </w:t>
      </w:r>
      <w:proofErr w:type="spellStart"/>
      <w:r w:rsidRPr="009B1965">
        <w:rPr>
          <w:rFonts w:ascii="Arial" w:hAnsi="Arial" w:cs="Arial"/>
          <w:i/>
          <w:iCs/>
          <w:sz w:val="20"/>
          <w:szCs w:val="20"/>
          <w:lang w:eastAsia="es-ES"/>
        </w:rPr>
        <w:t>Abnormal</w:t>
      </w:r>
      <w:proofErr w:type="spellEnd"/>
      <w:r w:rsidRPr="009B1965">
        <w:rPr>
          <w:rFonts w:ascii="Arial" w:hAnsi="Arial" w:cs="Arial"/>
          <w:i/>
          <w:iCs/>
          <w:sz w:val="20"/>
          <w:szCs w:val="20"/>
          <w:lang w:eastAsia="es-ES"/>
        </w:rPr>
        <w:t xml:space="preserve"> </w:t>
      </w:r>
      <w:proofErr w:type="spellStart"/>
      <w:r w:rsidRPr="009B1965">
        <w:rPr>
          <w:rFonts w:ascii="Arial" w:hAnsi="Arial" w:cs="Arial"/>
          <w:i/>
          <w:iCs/>
          <w:sz w:val="20"/>
          <w:szCs w:val="20"/>
          <w:lang w:eastAsia="es-ES"/>
        </w:rPr>
        <w:t>Psychology</w:t>
      </w:r>
      <w:proofErr w:type="spellEnd"/>
      <w:r w:rsidRPr="009B1965">
        <w:rPr>
          <w:rFonts w:ascii="Arial" w:hAnsi="Arial" w:cs="Arial"/>
          <w:i/>
          <w:iCs/>
          <w:sz w:val="20"/>
          <w:szCs w:val="20"/>
          <w:lang w:eastAsia="es-ES"/>
        </w:rPr>
        <w:t xml:space="preserve"> 1994;</w:t>
      </w:r>
      <w:r w:rsidRPr="009B1965">
        <w:rPr>
          <w:rFonts w:ascii="Arial" w:hAnsi="Arial" w:cs="Arial"/>
          <w:sz w:val="20"/>
          <w:szCs w:val="20"/>
          <w:lang w:eastAsia="es-ES"/>
        </w:rPr>
        <w:t xml:space="preserve"> 102:117-124. </w:t>
      </w:r>
      <w:proofErr w:type="spellStart"/>
      <w:proofErr w:type="gramStart"/>
      <w:r w:rsidRPr="009B1965">
        <w:rPr>
          <w:rFonts w:ascii="Arial" w:hAnsi="Arial" w:cs="Arial"/>
          <w:sz w:val="20"/>
          <w:szCs w:val="20"/>
          <w:lang w:eastAsia="es-ES"/>
        </w:rPr>
        <w:t>doi</w:t>
      </w:r>
      <w:proofErr w:type="spellEnd"/>
      <w:proofErr w:type="gramEnd"/>
      <w:r w:rsidRPr="009B1965">
        <w:rPr>
          <w:rFonts w:ascii="Arial" w:hAnsi="Arial" w:cs="Arial"/>
          <w:sz w:val="20"/>
          <w:szCs w:val="20"/>
          <w:lang w:eastAsia="es-ES"/>
        </w:rPr>
        <w:t>: 10.1037/0021-843X.103.1.117</w:t>
      </w:r>
    </w:p>
    <w:p w:rsidR="009133E7" w:rsidRPr="009B1965" w:rsidRDefault="009133E7" w:rsidP="009A41C3">
      <w:pPr>
        <w:spacing w:afterLines="100" w:after="240" w:line="240" w:lineRule="auto"/>
        <w:jc w:val="both"/>
        <w:rPr>
          <w:rFonts w:ascii="Arial" w:eastAsia="Times New Roman" w:hAnsi="Arial" w:cs="Arial"/>
          <w:sz w:val="20"/>
          <w:szCs w:val="20"/>
          <w:lang w:eastAsia="es-ES"/>
        </w:rPr>
      </w:pPr>
      <w:r w:rsidRPr="009B1965">
        <w:rPr>
          <w:rFonts w:ascii="Arial" w:eastAsia="Times New Roman" w:hAnsi="Arial" w:cs="Arial"/>
          <w:sz w:val="20"/>
          <w:szCs w:val="20"/>
          <w:lang w:eastAsia="es-ES"/>
        </w:rPr>
        <w:t xml:space="preserve">33. Romero-López, MJ. Una revisión de los trastornos disociativos: de la personalidad múltiple al estrés postraumático. </w:t>
      </w:r>
      <w:r w:rsidRPr="009B1965">
        <w:rPr>
          <w:rFonts w:ascii="Arial" w:eastAsia="Times New Roman" w:hAnsi="Arial" w:cs="Arial"/>
          <w:i/>
          <w:sz w:val="20"/>
          <w:szCs w:val="20"/>
          <w:lang w:eastAsia="es-ES"/>
        </w:rPr>
        <w:t>Anales de Psicología</w:t>
      </w:r>
      <w:r w:rsidRPr="009B1965">
        <w:rPr>
          <w:rFonts w:ascii="Arial" w:eastAsia="Times New Roman" w:hAnsi="Arial" w:cs="Arial"/>
          <w:sz w:val="20"/>
          <w:szCs w:val="20"/>
          <w:lang w:eastAsia="es-ES"/>
        </w:rPr>
        <w:t xml:space="preserve"> </w:t>
      </w:r>
      <w:r w:rsidRPr="009B1965">
        <w:rPr>
          <w:rFonts w:ascii="Arial" w:eastAsia="Times New Roman" w:hAnsi="Arial" w:cs="Arial"/>
          <w:i/>
          <w:sz w:val="20"/>
          <w:szCs w:val="20"/>
          <w:lang w:eastAsia="es-ES"/>
        </w:rPr>
        <w:t>2016</w:t>
      </w:r>
      <w:proofErr w:type="gramStart"/>
      <w:r w:rsidRPr="009B1965">
        <w:rPr>
          <w:rFonts w:ascii="Arial" w:eastAsia="Times New Roman" w:hAnsi="Arial" w:cs="Arial"/>
          <w:sz w:val="20"/>
          <w:szCs w:val="20"/>
          <w:lang w:eastAsia="es-ES"/>
        </w:rPr>
        <w:t>;32</w:t>
      </w:r>
      <w:proofErr w:type="gramEnd"/>
      <w:r w:rsidRPr="009B1965">
        <w:rPr>
          <w:rFonts w:ascii="Arial" w:eastAsia="Times New Roman" w:hAnsi="Arial" w:cs="Arial"/>
          <w:sz w:val="20"/>
          <w:szCs w:val="20"/>
          <w:lang w:eastAsia="es-ES"/>
        </w:rPr>
        <w:t xml:space="preserve">(2):448-456. Disponible en:  </w:t>
      </w:r>
      <w:hyperlink r:id="rId17" w:history="1">
        <w:r w:rsidRPr="009B1965">
          <w:rPr>
            <w:rFonts w:ascii="Arial" w:eastAsia="Times New Roman" w:hAnsi="Arial" w:cs="Arial"/>
            <w:color w:val="0000FF"/>
            <w:sz w:val="20"/>
            <w:szCs w:val="20"/>
            <w:u w:val="single"/>
            <w:lang w:eastAsia="es-ES"/>
          </w:rPr>
          <w:t>http://www.redalyc.org/articulo.oa?id=16745250016</w:t>
        </w:r>
      </w:hyperlink>
    </w:p>
    <w:p w:rsidR="009133E7" w:rsidRPr="009B1965" w:rsidRDefault="009133E7" w:rsidP="009A41C3">
      <w:pPr>
        <w:spacing w:afterLines="100" w:after="240" w:line="240" w:lineRule="auto"/>
        <w:jc w:val="both"/>
        <w:rPr>
          <w:rFonts w:ascii="Arial" w:eastAsia="Times New Roman" w:hAnsi="Arial" w:cs="Arial"/>
          <w:sz w:val="20"/>
          <w:szCs w:val="20"/>
          <w:lang w:eastAsia="es-ES"/>
        </w:rPr>
      </w:pPr>
      <w:r w:rsidRPr="009B1965">
        <w:rPr>
          <w:rFonts w:ascii="Arial" w:eastAsia="Times New Roman" w:hAnsi="Arial" w:cs="Arial"/>
          <w:sz w:val="20"/>
          <w:szCs w:val="20"/>
          <w:lang w:eastAsia="es-ES"/>
        </w:rPr>
        <w:t xml:space="preserve">34. </w:t>
      </w:r>
      <w:proofErr w:type="spellStart"/>
      <w:r w:rsidRPr="009B1965">
        <w:rPr>
          <w:rFonts w:ascii="Arial" w:eastAsia="Times New Roman" w:hAnsi="Arial" w:cs="Arial"/>
          <w:sz w:val="20"/>
          <w:szCs w:val="20"/>
          <w:lang w:eastAsia="es-ES"/>
        </w:rPr>
        <w:t>Bru</w:t>
      </w:r>
      <w:proofErr w:type="spellEnd"/>
      <w:r w:rsidRPr="009B1965">
        <w:rPr>
          <w:rFonts w:ascii="Arial" w:eastAsia="Times New Roman" w:hAnsi="Arial" w:cs="Arial"/>
          <w:sz w:val="20"/>
          <w:szCs w:val="20"/>
          <w:lang w:eastAsia="es-ES"/>
        </w:rPr>
        <w:t xml:space="preserve"> M, Santamaría M, Coronas R, Cobo J V. Trastorno disociativo y acontecimientos traumáticos. Un estudio en población española. </w:t>
      </w:r>
      <w:r w:rsidRPr="009B1965">
        <w:rPr>
          <w:rFonts w:ascii="Arial" w:eastAsia="Times New Roman" w:hAnsi="Arial" w:cs="Arial"/>
          <w:i/>
          <w:sz w:val="20"/>
          <w:szCs w:val="20"/>
          <w:lang w:eastAsia="es-ES"/>
        </w:rPr>
        <w:t>Actas Españolas de Psiquiatría</w:t>
      </w:r>
      <w:r w:rsidRPr="009B1965">
        <w:rPr>
          <w:rFonts w:ascii="Arial" w:eastAsia="Times New Roman" w:hAnsi="Arial" w:cs="Arial"/>
          <w:sz w:val="20"/>
          <w:szCs w:val="20"/>
          <w:lang w:eastAsia="es-ES"/>
        </w:rPr>
        <w:t xml:space="preserve"> </w:t>
      </w:r>
      <w:r w:rsidRPr="009B1965">
        <w:rPr>
          <w:rFonts w:ascii="Arial" w:eastAsia="Times New Roman" w:hAnsi="Arial" w:cs="Arial"/>
          <w:i/>
          <w:sz w:val="20"/>
          <w:szCs w:val="20"/>
          <w:lang w:eastAsia="es-ES"/>
        </w:rPr>
        <w:t>2009</w:t>
      </w:r>
      <w:proofErr w:type="gramStart"/>
      <w:r w:rsidRPr="009B1965">
        <w:rPr>
          <w:rFonts w:ascii="Arial" w:eastAsia="Times New Roman" w:hAnsi="Arial" w:cs="Arial"/>
          <w:sz w:val="20"/>
          <w:szCs w:val="20"/>
          <w:lang w:eastAsia="es-ES"/>
        </w:rPr>
        <w:t>;37:200</w:t>
      </w:r>
      <w:proofErr w:type="gramEnd"/>
      <w:r w:rsidRPr="009B1965">
        <w:rPr>
          <w:rFonts w:ascii="Arial" w:eastAsia="Times New Roman" w:hAnsi="Arial" w:cs="Arial"/>
          <w:sz w:val="20"/>
          <w:szCs w:val="20"/>
          <w:lang w:eastAsia="es-ES"/>
        </w:rPr>
        <w:t xml:space="preserve">-4. </w:t>
      </w:r>
      <w:proofErr w:type="spellStart"/>
      <w:r w:rsidRPr="009B1965">
        <w:rPr>
          <w:rFonts w:ascii="Arial" w:eastAsia="Times New Roman" w:hAnsi="Arial" w:cs="Arial"/>
          <w:sz w:val="20"/>
          <w:szCs w:val="20"/>
          <w:lang w:eastAsia="es-ES"/>
        </w:rPr>
        <w:t>Dispoble</w:t>
      </w:r>
      <w:proofErr w:type="spellEnd"/>
      <w:r w:rsidRPr="009B1965">
        <w:rPr>
          <w:rFonts w:ascii="Arial" w:eastAsia="Times New Roman" w:hAnsi="Arial" w:cs="Arial"/>
          <w:sz w:val="20"/>
          <w:szCs w:val="20"/>
          <w:lang w:eastAsia="es-ES"/>
        </w:rPr>
        <w:t xml:space="preserve"> en: </w:t>
      </w:r>
      <w:hyperlink r:id="rId18" w:history="1">
        <w:r w:rsidRPr="009B1965">
          <w:rPr>
            <w:rFonts w:ascii="Arial" w:eastAsia="Times New Roman" w:hAnsi="Arial" w:cs="Arial"/>
            <w:color w:val="0000FF"/>
            <w:sz w:val="20"/>
            <w:szCs w:val="20"/>
            <w:u w:val="single"/>
            <w:lang w:eastAsia="es-ES"/>
          </w:rPr>
          <w:t>http://actaspsiquiatria.es/repositorio/10/58/ESP/14143+4.+1174+es</w:t>
        </w:r>
      </w:hyperlink>
      <w:r w:rsidRPr="009B1965">
        <w:rPr>
          <w:rFonts w:ascii="Arial" w:eastAsia="Times New Roman" w:hAnsi="Arial" w:cs="Arial"/>
          <w:sz w:val="20"/>
          <w:szCs w:val="20"/>
          <w:lang w:eastAsia="es-ES"/>
        </w:rPr>
        <w:t xml:space="preserve"> p.pdf</w:t>
      </w:r>
    </w:p>
    <w:p w:rsidR="009133E7" w:rsidRPr="009B1965" w:rsidRDefault="009133E7" w:rsidP="009A41C3">
      <w:pPr>
        <w:autoSpaceDE w:val="0"/>
        <w:autoSpaceDN w:val="0"/>
        <w:adjustRightInd w:val="0"/>
        <w:spacing w:afterLines="100" w:after="240" w:line="240" w:lineRule="auto"/>
        <w:jc w:val="both"/>
        <w:rPr>
          <w:rFonts w:ascii="Arial" w:hAnsi="Arial" w:cs="Arial"/>
          <w:sz w:val="20"/>
          <w:szCs w:val="20"/>
          <w:lang w:val="en-US" w:eastAsia="es-ES"/>
        </w:rPr>
      </w:pPr>
      <w:r w:rsidRPr="009B1965">
        <w:rPr>
          <w:rFonts w:ascii="Arial" w:hAnsi="Arial" w:cs="Arial"/>
          <w:sz w:val="20"/>
          <w:szCs w:val="20"/>
          <w:lang w:val="en-US" w:eastAsia="es-ES"/>
        </w:rPr>
        <w:t xml:space="preserve">35. </w:t>
      </w:r>
      <w:proofErr w:type="spellStart"/>
      <w:r w:rsidRPr="009B1965">
        <w:rPr>
          <w:rFonts w:ascii="Arial" w:hAnsi="Arial" w:cs="Arial"/>
          <w:sz w:val="20"/>
          <w:szCs w:val="20"/>
          <w:lang w:val="en-US" w:eastAsia="es-ES"/>
        </w:rPr>
        <w:t>Twamley</w:t>
      </w:r>
      <w:proofErr w:type="spellEnd"/>
      <w:r w:rsidRPr="009B1965">
        <w:rPr>
          <w:rFonts w:ascii="Arial" w:hAnsi="Arial" w:cs="Arial"/>
          <w:sz w:val="20"/>
          <w:szCs w:val="20"/>
          <w:lang w:val="en-US" w:eastAsia="es-ES"/>
        </w:rPr>
        <w:t xml:space="preserve"> EW, Allard C B, Thorp S R, Norman S B, </w:t>
      </w:r>
      <w:proofErr w:type="spellStart"/>
      <w:r w:rsidRPr="009B1965">
        <w:rPr>
          <w:rFonts w:ascii="Arial" w:hAnsi="Arial" w:cs="Arial"/>
          <w:sz w:val="20"/>
          <w:szCs w:val="20"/>
          <w:lang w:val="en-US" w:eastAsia="es-ES"/>
        </w:rPr>
        <w:t>Cissell</w:t>
      </w:r>
      <w:proofErr w:type="spellEnd"/>
      <w:r w:rsidRPr="009B1965">
        <w:rPr>
          <w:rFonts w:ascii="Arial" w:hAnsi="Arial" w:cs="Arial"/>
          <w:sz w:val="20"/>
          <w:szCs w:val="20"/>
          <w:lang w:val="en-US" w:eastAsia="es-ES"/>
        </w:rPr>
        <w:t xml:space="preserve"> S H, </w:t>
      </w:r>
      <w:proofErr w:type="spellStart"/>
      <w:r w:rsidRPr="009B1965">
        <w:rPr>
          <w:rFonts w:ascii="Arial" w:hAnsi="Arial" w:cs="Arial"/>
          <w:sz w:val="20"/>
          <w:szCs w:val="20"/>
          <w:lang w:val="en-US" w:eastAsia="es-ES"/>
        </w:rPr>
        <w:t>Berardi</w:t>
      </w:r>
      <w:proofErr w:type="spellEnd"/>
      <w:r w:rsidRPr="009B1965">
        <w:rPr>
          <w:rFonts w:ascii="Arial" w:hAnsi="Arial" w:cs="Arial"/>
          <w:sz w:val="20"/>
          <w:szCs w:val="20"/>
          <w:lang w:val="en-US" w:eastAsia="es-ES"/>
        </w:rPr>
        <w:t xml:space="preserve"> K H, et al. Cognitive impairment and functioning in PTSD related to intimate partner violence. </w:t>
      </w:r>
      <w:r w:rsidRPr="009B1965">
        <w:rPr>
          <w:rFonts w:ascii="Arial" w:hAnsi="Arial" w:cs="Arial"/>
          <w:i/>
          <w:iCs/>
          <w:sz w:val="20"/>
          <w:szCs w:val="20"/>
          <w:lang w:val="en-US" w:eastAsia="es-ES"/>
        </w:rPr>
        <w:t>Journal of the International Neuropsychological Society</w:t>
      </w:r>
      <w:r w:rsidRPr="009B1965">
        <w:rPr>
          <w:rFonts w:ascii="Arial" w:hAnsi="Arial" w:cs="Arial"/>
          <w:sz w:val="20"/>
          <w:szCs w:val="20"/>
          <w:lang w:val="en-US" w:eastAsia="es-ES"/>
        </w:rPr>
        <w:t xml:space="preserve"> </w:t>
      </w:r>
      <w:r w:rsidRPr="009B1965">
        <w:rPr>
          <w:rFonts w:ascii="Arial" w:hAnsi="Arial" w:cs="Arial"/>
          <w:i/>
          <w:sz w:val="20"/>
          <w:szCs w:val="20"/>
          <w:lang w:val="en-US" w:eastAsia="es-ES"/>
        </w:rPr>
        <w:t>2009</w:t>
      </w:r>
      <w:r w:rsidRPr="009B1965">
        <w:rPr>
          <w:rFonts w:ascii="Arial" w:hAnsi="Arial" w:cs="Arial"/>
          <w:sz w:val="20"/>
          <w:szCs w:val="20"/>
          <w:lang w:val="en-US" w:eastAsia="es-ES"/>
        </w:rPr>
        <w:t xml:space="preserve">; 15:879-887. </w:t>
      </w:r>
      <w:proofErr w:type="gramStart"/>
      <w:r w:rsidRPr="009B1965">
        <w:rPr>
          <w:rFonts w:ascii="Arial" w:hAnsi="Arial" w:cs="Arial"/>
          <w:sz w:val="20"/>
          <w:szCs w:val="20"/>
          <w:lang w:val="en-US" w:eastAsia="es-ES"/>
        </w:rPr>
        <w:t>doi:</w:t>
      </w:r>
      <w:proofErr w:type="gramEnd"/>
      <w:r w:rsidRPr="009B1965">
        <w:rPr>
          <w:rFonts w:ascii="Arial" w:hAnsi="Arial" w:cs="Arial"/>
          <w:sz w:val="20"/>
          <w:szCs w:val="20"/>
          <w:lang w:val="en-US" w:eastAsia="es-ES"/>
        </w:rPr>
        <w:t>10.1017/S135561770999049X</w:t>
      </w:r>
    </w:p>
    <w:p w:rsidR="009133E7" w:rsidRPr="009B1965" w:rsidRDefault="009133E7" w:rsidP="009A41C3">
      <w:pPr>
        <w:autoSpaceDE w:val="0"/>
        <w:autoSpaceDN w:val="0"/>
        <w:adjustRightInd w:val="0"/>
        <w:spacing w:afterLines="100" w:after="240" w:line="240" w:lineRule="auto"/>
        <w:jc w:val="both"/>
        <w:rPr>
          <w:rFonts w:ascii="Arial" w:hAnsi="Arial" w:cs="Arial"/>
          <w:color w:val="000000"/>
          <w:sz w:val="20"/>
          <w:szCs w:val="20"/>
          <w:lang w:eastAsia="es-ES"/>
        </w:rPr>
      </w:pPr>
      <w:r w:rsidRPr="009B1965">
        <w:rPr>
          <w:rFonts w:ascii="Arial" w:hAnsi="Arial" w:cs="Arial"/>
          <w:color w:val="000000"/>
          <w:sz w:val="20"/>
          <w:szCs w:val="20"/>
          <w:lang w:eastAsia="es-ES"/>
        </w:rPr>
        <w:t xml:space="preserve">36. Domínguez, L; </w:t>
      </w:r>
      <w:proofErr w:type="spellStart"/>
      <w:r w:rsidRPr="009B1965">
        <w:rPr>
          <w:rFonts w:ascii="Arial" w:hAnsi="Arial" w:cs="Arial"/>
          <w:color w:val="000000"/>
          <w:sz w:val="20"/>
          <w:szCs w:val="20"/>
          <w:lang w:eastAsia="es-ES"/>
        </w:rPr>
        <w:t>Traviezo</w:t>
      </w:r>
      <w:proofErr w:type="spellEnd"/>
      <w:r w:rsidRPr="009B1965">
        <w:rPr>
          <w:rFonts w:ascii="Arial" w:hAnsi="Arial" w:cs="Arial"/>
          <w:color w:val="000000"/>
          <w:sz w:val="20"/>
          <w:szCs w:val="20"/>
          <w:lang w:eastAsia="es-ES"/>
        </w:rPr>
        <w:t xml:space="preserve"> D, </w:t>
      </w:r>
      <w:proofErr w:type="spellStart"/>
      <w:r w:rsidRPr="009B1965">
        <w:rPr>
          <w:rFonts w:ascii="Arial" w:hAnsi="Arial" w:cs="Arial"/>
          <w:color w:val="000000"/>
          <w:sz w:val="20"/>
          <w:szCs w:val="20"/>
          <w:lang w:eastAsia="es-ES"/>
        </w:rPr>
        <w:t>Figuerola</w:t>
      </w:r>
      <w:proofErr w:type="spellEnd"/>
      <w:r w:rsidRPr="009B1965">
        <w:rPr>
          <w:rFonts w:ascii="Arial" w:hAnsi="Arial" w:cs="Arial"/>
          <w:color w:val="000000"/>
          <w:sz w:val="20"/>
          <w:szCs w:val="20"/>
          <w:lang w:eastAsia="es-ES"/>
        </w:rPr>
        <w:t xml:space="preserve"> MC, </w:t>
      </w:r>
      <w:proofErr w:type="spellStart"/>
      <w:r w:rsidRPr="009B1965">
        <w:rPr>
          <w:rFonts w:ascii="Arial" w:hAnsi="Arial" w:cs="Arial"/>
          <w:color w:val="000000"/>
          <w:sz w:val="20"/>
          <w:szCs w:val="20"/>
          <w:lang w:eastAsia="es-ES"/>
        </w:rPr>
        <w:t>Gonzalez</w:t>
      </w:r>
      <w:proofErr w:type="spellEnd"/>
      <w:r w:rsidRPr="009B1965">
        <w:rPr>
          <w:rFonts w:ascii="Arial" w:hAnsi="Arial" w:cs="Arial"/>
          <w:color w:val="000000"/>
          <w:sz w:val="20"/>
          <w:szCs w:val="20"/>
          <w:lang w:eastAsia="es-ES"/>
        </w:rPr>
        <w:t xml:space="preserve"> V, Humaran Y, </w:t>
      </w:r>
      <w:proofErr w:type="spellStart"/>
      <w:r w:rsidRPr="009B1965">
        <w:rPr>
          <w:rFonts w:ascii="Arial" w:hAnsi="Arial" w:cs="Arial"/>
          <w:color w:val="000000"/>
          <w:sz w:val="20"/>
          <w:szCs w:val="20"/>
          <w:lang w:eastAsia="es-ES"/>
        </w:rPr>
        <w:t>Rodriguez</w:t>
      </w:r>
      <w:proofErr w:type="spellEnd"/>
      <w:r w:rsidRPr="009B1965">
        <w:rPr>
          <w:rFonts w:ascii="Arial" w:hAnsi="Arial" w:cs="Arial"/>
          <w:color w:val="000000"/>
          <w:sz w:val="20"/>
          <w:szCs w:val="20"/>
          <w:lang w:eastAsia="es-ES"/>
        </w:rPr>
        <w:t xml:space="preserve"> M, </w:t>
      </w:r>
      <w:proofErr w:type="spellStart"/>
      <w:r w:rsidRPr="009B1965">
        <w:rPr>
          <w:rFonts w:ascii="Arial" w:hAnsi="Arial" w:cs="Arial"/>
          <w:color w:val="000000"/>
          <w:sz w:val="20"/>
          <w:szCs w:val="20"/>
          <w:lang w:eastAsia="es-ES"/>
        </w:rPr>
        <w:t>Giniebra</w:t>
      </w:r>
      <w:proofErr w:type="spellEnd"/>
      <w:r w:rsidRPr="009B1965">
        <w:rPr>
          <w:rFonts w:ascii="Arial" w:hAnsi="Arial" w:cs="Arial"/>
          <w:color w:val="000000"/>
          <w:sz w:val="20"/>
          <w:szCs w:val="20"/>
          <w:lang w:eastAsia="es-ES"/>
        </w:rPr>
        <w:t xml:space="preserve"> R, </w:t>
      </w:r>
      <w:proofErr w:type="spellStart"/>
      <w:r w:rsidRPr="009B1965">
        <w:rPr>
          <w:rFonts w:ascii="Arial" w:hAnsi="Arial" w:cs="Arial"/>
          <w:color w:val="000000"/>
          <w:sz w:val="20"/>
          <w:szCs w:val="20"/>
          <w:lang w:eastAsia="es-ES"/>
        </w:rPr>
        <w:t>Ojalvo</w:t>
      </w:r>
      <w:proofErr w:type="spellEnd"/>
      <w:r w:rsidRPr="009B1965">
        <w:rPr>
          <w:rFonts w:ascii="Arial" w:hAnsi="Arial" w:cs="Arial"/>
          <w:color w:val="000000"/>
          <w:sz w:val="20"/>
          <w:szCs w:val="20"/>
          <w:lang w:eastAsia="es-ES"/>
        </w:rPr>
        <w:t xml:space="preserve"> V, Castellanos AN. Juventud y grupos en la educación superior: apuntes desde la psicología. Centro de estudios para la educación superior (CEPES). Editorial UH. 2014.</w:t>
      </w:r>
    </w:p>
    <w:p w:rsidR="009133E7" w:rsidRPr="009B1965" w:rsidRDefault="009133E7" w:rsidP="009A41C3">
      <w:pPr>
        <w:autoSpaceDE w:val="0"/>
        <w:autoSpaceDN w:val="0"/>
        <w:adjustRightInd w:val="0"/>
        <w:spacing w:afterLines="100" w:after="240" w:line="240" w:lineRule="auto"/>
        <w:jc w:val="both"/>
        <w:rPr>
          <w:rFonts w:ascii="Arial" w:hAnsi="Arial" w:cs="Arial"/>
          <w:color w:val="000000"/>
          <w:sz w:val="20"/>
          <w:szCs w:val="20"/>
          <w:lang w:eastAsia="es-ES"/>
        </w:rPr>
      </w:pPr>
      <w:r w:rsidRPr="009B1965">
        <w:rPr>
          <w:rFonts w:ascii="Arial" w:hAnsi="Arial" w:cs="Arial"/>
          <w:color w:val="000000"/>
          <w:sz w:val="20"/>
          <w:szCs w:val="20"/>
          <w:lang w:eastAsia="es-ES"/>
        </w:rPr>
        <w:t>37. Cobo JW, Martínez D M. Estrategias de afrontamiento en pacientes con enfermedades neurológicas crónicas. (Trabajo de grado Psicología). Universidad de San Buenaventura Colombia, Facultad de Psicología, Cali. 2017.</w:t>
      </w:r>
    </w:p>
    <w:p w:rsidR="009133E7" w:rsidRPr="000C576C" w:rsidRDefault="009133E7" w:rsidP="009A41C3">
      <w:pPr>
        <w:autoSpaceDE w:val="0"/>
        <w:autoSpaceDN w:val="0"/>
        <w:adjustRightInd w:val="0"/>
        <w:spacing w:afterLines="100" w:after="240" w:line="240" w:lineRule="auto"/>
        <w:jc w:val="both"/>
        <w:rPr>
          <w:rFonts w:ascii="Arial" w:hAnsi="Arial" w:cs="Arial"/>
          <w:sz w:val="20"/>
          <w:szCs w:val="20"/>
          <w:lang w:val="en-US" w:eastAsia="es-ES"/>
        </w:rPr>
      </w:pPr>
      <w:r w:rsidRPr="009B1965">
        <w:rPr>
          <w:rFonts w:ascii="Arial" w:hAnsi="Arial" w:cs="Arial"/>
          <w:sz w:val="20"/>
          <w:szCs w:val="20"/>
          <w:lang w:val="en-US" w:eastAsia="es-ES"/>
        </w:rPr>
        <w:t xml:space="preserve">38. </w:t>
      </w:r>
      <w:proofErr w:type="spellStart"/>
      <w:r w:rsidRPr="009B1965">
        <w:rPr>
          <w:rFonts w:ascii="Arial" w:hAnsi="Arial" w:cs="Arial"/>
          <w:sz w:val="20"/>
          <w:szCs w:val="20"/>
          <w:lang w:val="en-US" w:eastAsia="es-ES"/>
        </w:rPr>
        <w:t>Madaan</w:t>
      </w:r>
      <w:proofErr w:type="spellEnd"/>
      <w:r w:rsidRPr="009B1965">
        <w:rPr>
          <w:rFonts w:ascii="Arial" w:hAnsi="Arial" w:cs="Arial"/>
          <w:sz w:val="20"/>
          <w:szCs w:val="20"/>
          <w:lang w:val="en-US" w:eastAsia="es-ES"/>
        </w:rPr>
        <w:t xml:space="preserve"> P, </w:t>
      </w:r>
      <w:proofErr w:type="spellStart"/>
      <w:r w:rsidRPr="009B1965">
        <w:rPr>
          <w:rFonts w:ascii="Arial" w:hAnsi="Arial" w:cs="Arial"/>
          <w:sz w:val="20"/>
          <w:szCs w:val="20"/>
          <w:lang w:val="en-US" w:eastAsia="es-ES"/>
        </w:rPr>
        <w:t>Gulati</w:t>
      </w:r>
      <w:proofErr w:type="spellEnd"/>
      <w:r w:rsidRPr="009B1965">
        <w:rPr>
          <w:rFonts w:ascii="Arial" w:hAnsi="Arial" w:cs="Arial"/>
          <w:sz w:val="20"/>
          <w:szCs w:val="20"/>
          <w:lang w:val="en-US" w:eastAsia="es-ES"/>
        </w:rPr>
        <w:t xml:space="preserve"> S, </w:t>
      </w:r>
      <w:proofErr w:type="spellStart"/>
      <w:r w:rsidRPr="009B1965">
        <w:rPr>
          <w:rFonts w:ascii="Arial" w:hAnsi="Arial" w:cs="Arial"/>
          <w:sz w:val="20"/>
          <w:szCs w:val="20"/>
          <w:lang w:val="en-US" w:eastAsia="es-ES"/>
        </w:rPr>
        <w:t>Chakrabarty</w:t>
      </w:r>
      <w:proofErr w:type="spellEnd"/>
      <w:r w:rsidRPr="009B1965">
        <w:rPr>
          <w:rFonts w:ascii="Arial" w:hAnsi="Arial" w:cs="Arial"/>
          <w:sz w:val="20"/>
          <w:szCs w:val="20"/>
          <w:lang w:val="en-US" w:eastAsia="es-ES"/>
        </w:rPr>
        <w:t xml:space="preserve"> B, </w:t>
      </w:r>
      <w:proofErr w:type="spellStart"/>
      <w:r w:rsidRPr="009B1965">
        <w:rPr>
          <w:rFonts w:ascii="Arial" w:hAnsi="Arial" w:cs="Arial"/>
          <w:sz w:val="20"/>
          <w:szCs w:val="20"/>
          <w:lang w:val="en-US" w:eastAsia="es-ES"/>
        </w:rPr>
        <w:t>Sapra</w:t>
      </w:r>
      <w:proofErr w:type="spellEnd"/>
      <w:r w:rsidRPr="009B1965">
        <w:rPr>
          <w:rFonts w:ascii="Arial" w:hAnsi="Arial" w:cs="Arial"/>
          <w:sz w:val="20"/>
          <w:szCs w:val="20"/>
          <w:lang w:val="en-US" w:eastAsia="es-ES"/>
        </w:rPr>
        <w:t xml:space="preserve"> S, </w:t>
      </w:r>
      <w:proofErr w:type="spellStart"/>
      <w:r w:rsidRPr="009B1965">
        <w:rPr>
          <w:rFonts w:ascii="Arial" w:hAnsi="Arial" w:cs="Arial"/>
          <w:sz w:val="20"/>
          <w:szCs w:val="20"/>
          <w:lang w:val="en-US" w:eastAsia="es-ES"/>
        </w:rPr>
        <w:t>Sagar</w:t>
      </w:r>
      <w:proofErr w:type="spellEnd"/>
      <w:r w:rsidRPr="009B1965">
        <w:rPr>
          <w:rFonts w:ascii="Arial" w:hAnsi="Arial" w:cs="Arial"/>
          <w:sz w:val="20"/>
          <w:szCs w:val="20"/>
          <w:lang w:val="en-US" w:eastAsia="es-ES"/>
        </w:rPr>
        <w:t xml:space="preserve"> R, Mohammad A, et al. Clinical spectrum of psychogenic non epileptic seizures in children; an observational study. </w:t>
      </w:r>
      <w:r w:rsidRPr="009B1965">
        <w:rPr>
          <w:rFonts w:ascii="Arial" w:hAnsi="Arial" w:cs="Arial"/>
          <w:i/>
          <w:sz w:val="20"/>
          <w:szCs w:val="20"/>
          <w:lang w:val="en-US" w:eastAsia="es-ES"/>
        </w:rPr>
        <w:t>Seizure 2018</w:t>
      </w:r>
      <w:r w:rsidRPr="009B1965">
        <w:rPr>
          <w:rFonts w:ascii="Arial" w:hAnsi="Arial" w:cs="Arial"/>
          <w:sz w:val="20"/>
          <w:szCs w:val="20"/>
          <w:lang w:val="en-US" w:eastAsia="es-ES"/>
        </w:rPr>
        <w:t>; Apr 27</w:t>
      </w:r>
      <w:proofErr w:type="gramStart"/>
      <w:r w:rsidRPr="009B1965">
        <w:rPr>
          <w:rFonts w:ascii="Arial" w:hAnsi="Arial" w:cs="Arial"/>
          <w:sz w:val="20"/>
          <w:szCs w:val="20"/>
          <w:lang w:val="en-US" w:eastAsia="es-ES"/>
        </w:rPr>
        <w:t>;59:60</w:t>
      </w:r>
      <w:proofErr w:type="gramEnd"/>
      <w:r w:rsidRPr="009B1965">
        <w:rPr>
          <w:rFonts w:ascii="Arial" w:hAnsi="Arial" w:cs="Arial"/>
          <w:sz w:val="20"/>
          <w:szCs w:val="20"/>
          <w:lang w:val="en-US" w:eastAsia="es-ES"/>
        </w:rPr>
        <w:t xml:space="preserve">-66. </w:t>
      </w:r>
      <w:proofErr w:type="spellStart"/>
      <w:proofErr w:type="gramStart"/>
      <w:r w:rsidRPr="009B1965">
        <w:rPr>
          <w:rFonts w:ascii="Arial" w:hAnsi="Arial" w:cs="Arial"/>
          <w:sz w:val="20"/>
          <w:szCs w:val="20"/>
          <w:lang w:val="en-US" w:eastAsia="es-ES"/>
        </w:rPr>
        <w:t>doi</w:t>
      </w:r>
      <w:proofErr w:type="spellEnd"/>
      <w:proofErr w:type="gramEnd"/>
      <w:r w:rsidRPr="009B1965">
        <w:rPr>
          <w:rFonts w:ascii="Arial" w:hAnsi="Arial" w:cs="Arial"/>
          <w:sz w:val="20"/>
          <w:szCs w:val="20"/>
          <w:lang w:val="en-US" w:eastAsia="es-ES"/>
        </w:rPr>
        <w:t>: 10.1016/j.seizure.2018.04.024.</w:t>
      </w:r>
      <w:r w:rsidRPr="000C576C">
        <w:rPr>
          <w:rFonts w:ascii="Arial" w:hAnsi="Arial" w:cs="Arial"/>
          <w:sz w:val="20"/>
          <w:szCs w:val="20"/>
          <w:lang w:val="en-US" w:eastAsia="es-ES"/>
        </w:rPr>
        <w:t xml:space="preserve"> </w:t>
      </w:r>
    </w:p>
    <w:p w:rsidR="00A952BC" w:rsidRDefault="00A952BC" w:rsidP="009A41C3">
      <w:pPr>
        <w:spacing w:after="0" w:line="240" w:lineRule="auto"/>
        <w:jc w:val="both"/>
        <w:rPr>
          <w:rFonts w:ascii="Arial" w:hAnsi="Arial" w:cs="Arial"/>
          <w:sz w:val="20"/>
          <w:szCs w:val="20"/>
          <w:lang w:val="en-US"/>
        </w:rPr>
      </w:pPr>
    </w:p>
    <w:p w:rsidR="009F221F" w:rsidRDefault="009F221F" w:rsidP="009A41C3">
      <w:pPr>
        <w:spacing w:after="0" w:line="240" w:lineRule="auto"/>
        <w:jc w:val="both"/>
        <w:rPr>
          <w:rFonts w:ascii="Arial" w:hAnsi="Arial" w:cs="Arial"/>
          <w:sz w:val="20"/>
          <w:szCs w:val="20"/>
          <w:lang w:val="en-US"/>
        </w:rPr>
      </w:pPr>
    </w:p>
    <w:p w:rsidR="00A53FCB" w:rsidRDefault="00A53FCB" w:rsidP="009A41C3">
      <w:pPr>
        <w:spacing w:after="0" w:line="240" w:lineRule="auto"/>
        <w:jc w:val="both"/>
        <w:rPr>
          <w:rFonts w:ascii="Arial" w:hAnsi="Arial" w:cs="Arial"/>
          <w:sz w:val="20"/>
          <w:szCs w:val="20"/>
          <w:lang w:val="en-US"/>
        </w:rPr>
      </w:pPr>
    </w:p>
    <w:p w:rsidR="00A53FCB" w:rsidRDefault="00A53FCB" w:rsidP="009A41C3">
      <w:pPr>
        <w:spacing w:after="0" w:line="240" w:lineRule="auto"/>
        <w:jc w:val="both"/>
        <w:rPr>
          <w:rFonts w:ascii="Arial" w:hAnsi="Arial" w:cs="Arial"/>
          <w:sz w:val="20"/>
          <w:szCs w:val="20"/>
          <w:lang w:val="en-US"/>
        </w:rPr>
      </w:pPr>
    </w:p>
    <w:p w:rsidR="00A53FCB" w:rsidRDefault="00A53FCB" w:rsidP="009A41C3">
      <w:pPr>
        <w:spacing w:after="0" w:line="240" w:lineRule="auto"/>
        <w:jc w:val="both"/>
        <w:rPr>
          <w:rFonts w:ascii="Arial" w:hAnsi="Arial" w:cs="Arial"/>
          <w:sz w:val="20"/>
          <w:szCs w:val="20"/>
          <w:lang w:val="en-US"/>
        </w:rPr>
      </w:pPr>
    </w:p>
    <w:p w:rsidR="009F221F" w:rsidRPr="00D41D7D" w:rsidRDefault="009F221F" w:rsidP="009A41C3">
      <w:pPr>
        <w:spacing w:after="0" w:line="240" w:lineRule="auto"/>
        <w:jc w:val="both"/>
        <w:rPr>
          <w:rFonts w:ascii="Arial" w:hAnsi="Arial" w:cs="Arial"/>
          <w:sz w:val="20"/>
          <w:szCs w:val="20"/>
          <w:lang w:val="en-US"/>
        </w:rPr>
      </w:pPr>
    </w:p>
    <w:p w:rsidR="003703A1" w:rsidRPr="009A41C3" w:rsidRDefault="00A952BC" w:rsidP="009A41C3">
      <w:pPr>
        <w:pStyle w:val="Ttulo2"/>
        <w:framePr w:wrap="notBeside"/>
        <w:shd w:val="clear" w:color="auto" w:fill="F2F2F2" w:themeFill="background1" w:themeFillShade="F2"/>
        <w:jc w:val="both"/>
        <w:rPr>
          <w:rFonts w:cs="Arial"/>
          <w:szCs w:val="20"/>
        </w:rPr>
      </w:pPr>
      <w:r w:rsidRPr="009A41C3">
        <w:rPr>
          <w:rFonts w:cs="Arial"/>
          <w:szCs w:val="20"/>
        </w:rPr>
        <w:lastRenderedPageBreak/>
        <w:t>LEYENDAS DE LOS PIES DE LAS FIGURAS (Hasta 6 pies de figuras)</w:t>
      </w:r>
    </w:p>
    <w:p w:rsidR="00A15D6F" w:rsidRPr="009A41C3" w:rsidRDefault="00A15D6F" w:rsidP="009A41C3">
      <w:pPr>
        <w:pStyle w:val="Ttulo3"/>
        <w:framePr w:wrap="notBeside"/>
        <w:shd w:val="clear" w:color="auto" w:fill="F2F2F2" w:themeFill="background1" w:themeFillShade="F2"/>
        <w:jc w:val="both"/>
        <w:rPr>
          <w:rFonts w:cs="Arial"/>
          <w:szCs w:val="20"/>
        </w:rPr>
      </w:pPr>
      <w:r w:rsidRPr="009A41C3">
        <w:rPr>
          <w:rFonts w:cs="Arial"/>
          <w:szCs w:val="20"/>
        </w:rPr>
        <w:t>Figura 1.</w:t>
      </w:r>
    </w:p>
    <w:p w:rsidR="009A41C3" w:rsidRPr="009A41C3" w:rsidRDefault="009A41C3" w:rsidP="009A41C3">
      <w:pPr>
        <w:pStyle w:val="Sinespaciado"/>
        <w:jc w:val="both"/>
        <w:rPr>
          <w:rFonts w:cs="Arial"/>
          <w:szCs w:val="20"/>
        </w:rPr>
      </w:pPr>
    </w:p>
    <w:p w:rsidR="00A15D6F" w:rsidRPr="009A41C3" w:rsidRDefault="00A15D6F" w:rsidP="009A41C3">
      <w:pPr>
        <w:pStyle w:val="Ttulo3"/>
        <w:framePr w:wrap="notBeside"/>
        <w:shd w:val="clear" w:color="auto" w:fill="F2F2F2" w:themeFill="background1" w:themeFillShade="F2"/>
        <w:jc w:val="both"/>
        <w:rPr>
          <w:rFonts w:cs="Arial"/>
          <w:szCs w:val="20"/>
        </w:rPr>
      </w:pPr>
      <w:r w:rsidRPr="009A41C3">
        <w:rPr>
          <w:rFonts w:cs="Arial"/>
          <w:szCs w:val="20"/>
        </w:rPr>
        <w:t>Figura 2.</w:t>
      </w:r>
    </w:p>
    <w:p w:rsidR="009A41C3" w:rsidRPr="009A41C3" w:rsidRDefault="009A41C3" w:rsidP="009A41C3">
      <w:pPr>
        <w:pStyle w:val="Sinespaciado"/>
        <w:jc w:val="both"/>
        <w:rPr>
          <w:rFonts w:cs="Arial"/>
          <w:szCs w:val="20"/>
        </w:rPr>
      </w:pPr>
    </w:p>
    <w:p w:rsidR="009A41C3" w:rsidRPr="009A41C3" w:rsidRDefault="009A41C3" w:rsidP="009A41C3">
      <w:pPr>
        <w:pStyle w:val="Ttulo3"/>
        <w:framePr w:wrap="notBeside"/>
        <w:shd w:val="clear" w:color="auto" w:fill="F2F2F2" w:themeFill="background1" w:themeFillShade="F2"/>
        <w:jc w:val="both"/>
        <w:rPr>
          <w:rFonts w:cs="Arial"/>
          <w:szCs w:val="20"/>
        </w:rPr>
      </w:pPr>
    </w:p>
    <w:p w:rsidR="00A15D6F" w:rsidRPr="009A41C3" w:rsidRDefault="00A15D6F" w:rsidP="009A41C3">
      <w:pPr>
        <w:pStyle w:val="Ttulo3"/>
        <w:framePr w:wrap="notBeside"/>
        <w:shd w:val="clear" w:color="auto" w:fill="F2F2F2" w:themeFill="background1" w:themeFillShade="F2"/>
        <w:jc w:val="both"/>
        <w:rPr>
          <w:rFonts w:cs="Arial"/>
          <w:szCs w:val="20"/>
        </w:rPr>
      </w:pPr>
      <w:r w:rsidRPr="009A41C3">
        <w:rPr>
          <w:rFonts w:cs="Arial"/>
          <w:szCs w:val="20"/>
        </w:rPr>
        <w:t>Figura 3.</w:t>
      </w:r>
    </w:p>
    <w:p w:rsidR="009A41C3" w:rsidRPr="009A41C3" w:rsidRDefault="009A41C3" w:rsidP="009A41C3">
      <w:pPr>
        <w:pStyle w:val="Sinespaciado"/>
        <w:jc w:val="both"/>
        <w:rPr>
          <w:rFonts w:cs="Arial"/>
          <w:szCs w:val="20"/>
        </w:rPr>
      </w:pPr>
    </w:p>
    <w:p w:rsidR="009A41C3" w:rsidRPr="009A41C3" w:rsidRDefault="009A41C3" w:rsidP="009A41C3">
      <w:pPr>
        <w:pStyle w:val="Ttulo3"/>
        <w:framePr w:wrap="notBeside"/>
        <w:shd w:val="clear" w:color="auto" w:fill="F2F2F2" w:themeFill="background1" w:themeFillShade="F2"/>
        <w:jc w:val="both"/>
        <w:rPr>
          <w:rFonts w:cs="Arial"/>
          <w:szCs w:val="20"/>
        </w:rPr>
      </w:pPr>
    </w:p>
    <w:p w:rsidR="00A15D6F" w:rsidRPr="009A41C3" w:rsidRDefault="00A15D6F" w:rsidP="009A41C3">
      <w:pPr>
        <w:pStyle w:val="Ttulo3"/>
        <w:framePr w:wrap="notBeside"/>
        <w:shd w:val="clear" w:color="auto" w:fill="F2F2F2" w:themeFill="background1" w:themeFillShade="F2"/>
        <w:jc w:val="both"/>
        <w:rPr>
          <w:rFonts w:cs="Arial"/>
          <w:szCs w:val="20"/>
        </w:rPr>
      </w:pPr>
      <w:r w:rsidRPr="009A41C3">
        <w:rPr>
          <w:rFonts w:cs="Arial"/>
          <w:szCs w:val="20"/>
        </w:rPr>
        <w:t>Figura 4.</w:t>
      </w:r>
    </w:p>
    <w:p w:rsidR="00A15D6F" w:rsidRPr="009A41C3" w:rsidRDefault="00A15D6F" w:rsidP="009A41C3">
      <w:pPr>
        <w:pStyle w:val="Sinespaciado"/>
        <w:jc w:val="both"/>
        <w:rPr>
          <w:rFonts w:cs="Arial"/>
          <w:szCs w:val="20"/>
        </w:rPr>
      </w:pPr>
    </w:p>
    <w:p w:rsidR="00A15D6F" w:rsidRPr="009A41C3" w:rsidRDefault="00A15D6F" w:rsidP="009A41C3">
      <w:pPr>
        <w:pStyle w:val="Ttulo3"/>
        <w:framePr w:wrap="notBeside"/>
        <w:shd w:val="clear" w:color="auto" w:fill="F2F2F2" w:themeFill="background1" w:themeFillShade="F2"/>
        <w:jc w:val="both"/>
        <w:rPr>
          <w:rFonts w:cs="Arial"/>
          <w:szCs w:val="20"/>
        </w:rPr>
      </w:pPr>
      <w:r w:rsidRPr="009A41C3">
        <w:rPr>
          <w:rFonts w:cs="Arial"/>
          <w:szCs w:val="20"/>
        </w:rPr>
        <w:t>Figura 5.</w:t>
      </w:r>
    </w:p>
    <w:p w:rsidR="009A41C3" w:rsidRPr="009A41C3" w:rsidRDefault="009A41C3" w:rsidP="009A41C3">
      <w:pPr>
        <w:pStyle w:val="Sinespaciado"/>
        <w:jc w:val="both"/>
        <w:rPr>
          <w:rFonts w:cs="Arial"/>
          <w:szCs w:val="20"/>
        </w:rPr>
      </w:pPr>
    </w:p>
    <w:p w:rsidR="00A15D6F" w:rsidRPr="009A41C3" w:rsidRDefault="00A15D6F" w:rsidP="009A41C3">
      <w:pPr>
        <w:pStyle w:val="Ttulo3"/>
        <w:framePr w:wrap="notBeside"/>
        <w:shd w:val="clear" w:color="auto" w:fill="F2F2F2" w:themeFill="background1" w:themeFillShade="F2"/>
        <w:jc w:val="both"/>
        <w:rPr>
          <w:rFonts w:cs="Arial"/>
          <w:szCs w:val="20"/>
        </w:rPr>
      </w:pPr>
      <w:r w:rsidRPr="009A41C3">
        <w:rPr>
          <w:rFonts w:cs="Arial"/>
          <w:szCs w:val="20"/>
        </w:rPr>
        <w:t>Figura 6.</w:t>
      </w:r>
    </w:p>
    <w:p w:rsidR="00A15D6F" w:rsidRPr="009A41C3" w:rsidRDefault="00A15D6F" w:rsidP="009A41C3">
      <w:pPr>
        <w:spacing w:after="0" w:line="240" w:lineRule="auto"/>
        <w:jc w:val="both"/>
        <w:rPr>
          <w:rFonts w:ascii="Arial" w:hAnsi="Arial" w:cs="Arial"/>
          <w:sz w:val="20"/>
          <w:szCs w:val="20"/>
        </w:rPr>
      </w:pPr>
    </w:p>
    <w:p w:rsidR="00D101B6" w:rsidRPr="009A41C3" w:rsidRDefault="00A952BC" w:rsidP="009A41C3">
      <w:pPr>
        <w:pStyle w:val="Ttulo2"/>
        <w:framePr w:wrap="notBeside"/>
        <w:shd w:val="clear" w:color="auto" w:fill="F2F2F2" w:themeFill="background1" w:themeFillShade="F2"/>
        <w:jc w:val="both"/>
        <w:rPr>
          <w:rFonts w:cs="Arial"/>
          <w:szCs w:val="20"/>
        </w:rPr>
      </w:pPr>
      <w:r w:rsidRPr="009A41C3">
        <w:rPr>
          <w:rFonts w:cs="Arial"/>
          <w:szCs w:val="20"/>
        </w:rPr>
        <w:t>TABLAS (De 2 a 6 tablas encabezadas con su respectivo título)</w:t>
      </w:r>
    </w:p>
    <w:p w:rsidR="00A15D6F" w:rsidRPr="009A41C3" w:rsidRDefault="00A15D6F" w:rsidP="009A41C3">
      <w:pPr>
        <w:pStyle w:val="Ttulo3"/>
        <w:framePr w:wrap="notBeside"/>
        <w:shd w:val="clear" w:color="auto" w:fill="F2F2F2" w:themeFill="background1" w:themeFillShade="F2"/>
        <w:jc w:val="both"/>
        <w:rPr>
          <w:rFonts w:cs="Arial"/>
          <w:szCs w:val="20"/>
        </w:rPr>
      </w:pPr>
      <w:r w:rsidRPr="009A41C3">
        <w:rPr>
          <w:rFonts w:cs="Arial"/>
          <w:szCs w:val="20"/>
        </w:rPr>
        <w:t>Tabla 1.</w:t>
      </w:r>
    </w:p>
    <w:p w:rsidR="00996307" w:rsidRPr="009A41C3" w:rsidRDefault="00996307" w:rsidP="009A41C3">
      <w:pPr>
        <w:pStyle w:val="Sinespaciado"/>
        <w:jc w:val="both"/>
        <w:rPr>
          <w:rFonts w:cs="Arial"/>
          <w:szCs w:val="20"/>
        </w:rPr>
      </w:pPr>
    </w:p>
    <w:p w:rsidR="009A41C3" w:rsidRPr="009A41C3" w:rsidRDefault="009A41C3" w:rsidP="009A41C3">
      <w:pPr>
        <w:spacing w:before="240"/>
        <w:jc w:val="both"/>
        <w:rPr>
          <w:rFonts w:ascii="Arial" w:hAnsi="Arial" w:cs="Arial"/>
          <w:sz w:val="20"/>
          <w:szCs w:val="20"/>
        </w:rPr>
      </w:pPr>
      <w:r w:rsidRPr="009A41C3">
        <w:rPr>
          <w:rFonts w:ascii="Arial" w:hAnsi="Arial" w:cs="Arial"/>
          <w:b/>
          <w:sz w:val="20"/>
          <w:szCs w:val="20"/>
        </w:rPr>
        <w:t>Tabla I</w:t>
      </w:r>
      <w:r w:rsidRPr="009A41C3">
        <w:rPr>
          <w:rFonts w:ascii="Arial" w:hAnsi="Arial" w:cs="Arial"/>
          <w:sz w:val="20"/>
          <w:szCs w:val="20"/>
        </w:rPr>
        <w:t>. Características demográficas de los pacientes con CE y CPnE.</w:t>
      </w:r>
    </w:p>
    <w:tbl>
      <w:tblPr>
        <w:tblW w:w="0" w:type="auto"/>
        <w:tblBorders>
          <w:top w:val="single" w:sz="4" w:space="0" w:color="000000"/>
        </w:tblBorders>
        <w:tblLook w:val="04A0" w:firstRow="1" w:lastRow="0" w:firstColumn="1" w:lastColumn="0" w:noHBand="0" w:noVBand="1"/>
      </w:tblPr>
      <w:tblGrid>
        <w:gridCol w:w="1344"/>
        <w:gridCol w:w="1481"/>
        <w:gridCol w:w="799"/>
        <w:gridCol w:w="799"/>
        <w:gridCol w:w="491"/>
        <w:gridCol w:w="486"/>
        <w:gridCol w:w="688"/>
        <w:gridCol w:w="799"/>
        <w:gridCol w:w="1034"/>
        <w:gridCol w:w="1255"/>
        <w:gridCol w:w="1105"/>
      </w:tblGrid>
      <w:tr w:rsidR="009A41C3" w:rsidRPr="009A41C3" w:rsidTr="00A73711">
        <w:trPr>
          <w:trHeight w:val="283"/>
        </w:trPr>
        <w:tc>
          <w:tcPr>
            <w:tcW w:w="5711" w:type="dxa"/>
            <w:gridSpan w:val="8"/>
            <w:tcBorders>
              <w:top w:val="single" w:sz="4" w:space="0" w:color="000000"/>
            </w:tcBorders>
          </w:tcPr>
          <w:p w:rsidR="009A41C3" w:rsidRPr="009A41C3" w:rsidRDefault="009A41C3" w:rsidP="009A41C3">
            <w:pPr>
              <w:spacing w:after="0"/>
              <w:ind w:left="360"/>
              <w:jc w:val="both"/>
              <w:rPr>
                <w:rFonts w:ascii="Arial" w:hAnsi="Arial" w:cs="Arial"/>
                <w:sz w:val="20"/>
                <w:szCs w:val="20"/>
              </w:rPr>
            </w:pPr>
          </w:p>
        </w:tc>
        <w:tc>
          <w:tcPr>
            <w:tcW w:w="1091" w:type="dxa"/>
            <w:vMerge w:val="restart"/>
            <w:tcBorders>
              <w:top w:val="single" w:sz="4" w:space="0" w:color="000000"/>
            </w:tcBorders>
          </w:tcPr>
          <w:p w:rsidR="009A41C3" w:rsidRPr="009A41C3" w:rsidRDefault="009A41C3" w:rsidP="009A41C3">
            <w:pPr>
              <w:spacing w:after="0"/>
              <w:ind w:left="360"/>
              <w:jc w:val="both"/>
              <w:rPr>
                <w:rFonts w:ascii="Arial" w:hAnsi="Arial" w:cs="Arial"/>
                <w:sz w:val="20"/>
                <w:szCs w:val="20"/>
              </w:rPr>
            </w:pPr>
          </w:p>
        </w:tc>
        <w:tc>
          <w:tcPr>
            <w:tcW w:w="1091" w:type="dxa"/>
            <w:vMerge w:val="restart"/>
            <w:tcBorders>
              <w:top w:val="single" w:sz="4" w:space="0" w:color="000000"/>
            </w:tcBorders>
          </w:tcPr>
          <w:p w:rsidR="009A41C3" w:rsidRPr="009A41C3" w:rsidRDefault="009A41C3" w:rsidP="009A41C3">
            <w:pPr>
              <w:spacing w:after="0"/>
              <w:ind w:left="360"/>
              <w:jc w:val="both"/>
              <w:rPr>
                <w:rFonts w:ascii="Arial" w:hAnsi="Arial" w:cs="Arial"/>
                <w:sz w:val="20"/>
                <w:szCs w:val="20"/>
              </w:rPr>
            </w:pPr>
            <w:r w:rsidRPr="009A41C3">
              <w:rPr>
                <w:rFonts w:ascii="Arial" w:hAnsi="Arial" w:cs="Arial"/>
                <w:sz w:val="20"/>
                <w:szCs w:val="20"/>
              </w:rPr>
              <w:t>Valores de p/entre CPnE y CE</w:t>
            </w:r>
          </w:p>
        </w:tc>
        <w:tc>
          <w:tcPr>
            <w:tcW w:w="1167" w:type="dxa"/>
            <w:vMerge w:val="restart"/>
            <w:tcBorders>
              <w:top w:val="single" w:sz="4" w:space="0" w:color="000000"/>
            </w:tcBorders>
          </w:tcPr>
          <w:p w:rsidR="009A41C3" w:rsidRPr="009A41C3" w:rsidRDefault="009A41C3" w:rsidP="009A41C3">
            <w:pPr>
              <w:spacing w:after="0"/>
              <w:ind w:left="360"/>
              <w:jc w:val="both"/>
              <w:rPr>
                <w:rFonts w:ascii="Arial" w:hAnsi="Arial" w:cs="Arial"/>
                <w:sz w:val="20"/>
                <w:szCs w:val="20"/>
              </w:rPr>
            </w:pPr>
          </w:p>
        </w:tc>
      </w:tr>
      <w:tr w:rsidR="009A41C3" w:rsidRPr="009A41C3" w:rsidTr="00A73711">
        <w:trPr>
          <w:trHeight w:val="283"/>
        </w:trPr>
        <w:tc>
          <w:tcPr>
            <w:tcW w:w="2838" w:type="dxa"/>
            <w:gridSpan w:val="2"/>
            <w:vMerge w:val="restart"/>
            <w:tcBorders>
              <w:top w:val="nil"/>
            </w:tcBorders>
          </w:tcPr>
          <w:p w:rsidR="009A41C3" w:rsidRPr="009A41C3" w:rsidRDefault="009A41C3" w:rsidP="009A41C3">
            <w:pPr>
              <w:spacing w:after="0"/>
              <w:ind w:left="360"/>
              <w:jc w:val="both"/>
              <w:rPr>
                <w:rFonts w:ascii="Arial" w:hAnsi="Arial" w:cs="Arial"/>
                <w:b/>
                <w:sz w:val="20"/>
                <w:szCs w:val="20"/>
              </w:rPr>
            </w:pPr>
            <w:r w:rsidRPr="009A41C3">
              <w:rPr>
                <w:rFonts w:ascii="Arial" w:hAnsi="Arial" w:cs="Arial"/>
                <w:b/>
                <w:sz w:val="20"/>
                <w:szCs w:val="20"/>
              </w:rPr>
              <w:t>Variables</w:t>
            </w:r>
          </w:p>
        </w:tc>
        <w:tc>
          <w:tcPr>
            <w:tcW w:w="983" w:type="dxa"/>
            <w:gridSpan w:val="2"/>
            <w:tcBorders>
              <w:top w:val="nil"/>
            </w:tcBorders>
          </w:tcPr>
          <w:p w:rsidR="009A41C3" w:rsidRPr="009A41C3" w:rsidRDefault="009A41C3" w:rsidP="009A41C3">
            <w:pPr>
              <w:spacing w:after="0"/>
              <w:ind w:left="360"/>
              <w:jc w:val="both"/>
              <w:rPr>
                <w:rFonts w:ascii="Arial" w:hAnsi="Arial" w:cs="Arial"/>
                <w:b/>
                <w:sz w:val="20"/>
                <w:szCs w:val="20"/>
              </w:rPr>
            </w:pPr>
            <w:r w:rsidRPr="009A41C3">
              <w:rPr>
                <w:rFonts w:ascii="Arial" w:hAnsi="Arial" w:cs="Arial"/>
                <w:b/>
                <w:sz w:val="20"/>
                <w:szCs w:val="20"/>
              </w:rPr>
              <w:t>CPnE</w:t>
            </w:r>
          </w:p>
          <w:p w:rsidR="009A41C3" w:rsidRPr="009A41C3" w:rsidRDefault="009A41C3" w:rsidP="009A41C3">
            <w:pPr>
              <w:spacing w:after="0"/>
              <w:ind w:left="360"/>
              <w:jc w:val="both"/>
              <w:rPr>
                <w:rFonts w:ascii="Arial" w:hAnsi="Arial" w:cs="Arial"/>
                <w:b/>
                <w:sz w:val="20"/>
                <w:szCs w:val="20"/>
              </w:rPr>
            </w:pPr>
            <w:r w:rsidRPr="009A41C3">
              <w:rPr>
                <w:rFonts w:ascii="Arial" w:hAnsi="Arial" w:cs="Arial"/>
                <w:b/>
                <w:sz w:val="20"/>
                <w:szCs w:val="20"/>
              </w:rPr>
              <w:t>n=23</w:t>
            </w:r>
          </w:p>
        </w:tc>
        <w:tc>
          <w:tcPr>
            <w:tcW w:w="1015" w:type="dxa"/>
            <w:gridSpan w:val="2"/>
            <w:tcBorders>
              <w:top w:val="nil"/>
            </w:tcBorders>
          </w:tcPr>
          <w:p w:rsidR="009A41C3" w:rsidRPr="009A41C3" w:rsidRDefault="009A41C3" w:rsidP="009A41C3">
            <w:pPr>
              <w:spacing w:after="0"/>
              <w:ind w:left="360"/>
              <w:jc w:val="both"/>
              <w:rPr>
                <w:rFonts w:ascii="Arial" w:hAnsi="Arial" w:cs="Arial"/>
                <w:b/>
                <w:sz w:val="20"/>
                <w:szCs w:val="20"/>
              </w:rPr>
            </w:pPr>
          </w:p>
        </w:tc>
        <w:tc>
          <w:tcPr>
            <w:tcW w:w="875" w:type="dxa"/>
            <w:gridSpan w:val="2"/>
            <w:vMerge w:val="restart"/>
            <w:tcBorders>
              <w:top w:val="nil"/>
            </w:tcBorders>
          </w:tcPr>
          <w:p w:rsidR="009A41C3" w:rsidRPr="009A41C3" w:rsidRDefault="009A41C3" w:rsidP="009A41C3">
            <w:pPr>
              <w:spacing w:after="0"/>
              <w:ind w:left="360"/>
              <w:jc w:val="both"/>
              <w:rPr>
                <w:rFonts w:ascii="Arial" w:hAnsi="Arial" w:cs="Arial"/>
                <w:b/>
                <w:sz w:val="20"/>
                <w:szCs w:val="20"/>
              </w:rPr>
            </w:pPr>
            <w:r w:rsidRPr="009A41C3">
              <w:rPr>
                <w:rFonts w:ascii="Arial" w:hAnsi="Arial" w:cs="Arial"/>
                <w:b/>
                <w:sz w:val="20"/>
                <w:szCs w:val="20"/>
              </w:rPr>
              <w:t>CE</w:t>
            </w:r>
          </w:p>
          <w:p w:rsidR="009A41C3" w:rsidRPr="009A41C3" w:rsidRDefault="009A41C3" w:rsidP="009A41C3">
            <w:pPr>
              <w:spacing w:after="0"/>
              <w:ind w:left="360"/>
              <w:jc w:val="both"/>
              <w:rPr>
                <w:rFonts w:ascii="Arial" w:hAnsi="Arial" w:cs="Arial"/>
                <w:sz w:val="20"/>
                <w:szCs w:val="20"/>
              </w:rPr>
            </w:pPr>
            <w:r w:rsidRPr="009A41C3">
              <w:rPr>
                <w:rFonts w:ascii="Arial" w:hAnsi="Arial" w:cs="Arial"/>
                <w:b/>
                <w:sz w:val="20"/>
                <w:szCs w:val="20"/>
              </w:rPr>
              <w:t>n=15</w:t>
            </w:r>
          </w:p>
          <w:p w:rsidR="009A41C3" w:rsidRPr="009A41C3" w:rsidRDefault="009A41C3" w:rsidP="009A41C3">
            <w:pPr>
              <w:spacing w:after="0"/>
              <w:ind w:left="360"/>
              <w:jc w:val="both"/>
              <w:rPr>
                <w:rFonts w:ascii="Arial" w:hAnsi="Arial" w:cs="Arial"/>
                <w:sz w:val="20"/>
                <w:szCs w:val="20"/>
              </w:rPr>
            </w:pPr>
          </w:p>
          <w:p w:rsidR="009A41C3" w:rsidRPr="009A41C3" w:rsidRDefault="009A41C3" w:rsidP="009A41C3">
            <w:pPr>
              <w:spacing w:after="0"/>
              <w:ind w:left="360"/>
              <w:jc w:val="both"/>
              <w:rPr>
                <w:rFonts w:ascii="Arial" w:hAnsi="Arial" w:cs="Arial"/>
                <w:sz w:val="20"/>
                <w:szCs w:val="20"/>
              </w:rPr>
            </w:pPr>
          </w:p>
          <w:p w:rsidR="009A41C3" w:rsidRPr="009A41C3" w:rsidRDefault="009A41C3" w:rsidP="009A41C3">
            <w:pPr>
              <w:spacing w:after="0"/>
              <w:ind w:left="360"/>
              <w:jc w:val="both"/>
              <w:rPr>
                <w:rFonts w:ascii="Arial" w:hAnsi="Arial" w:cs="Arial"/>
                <w:b/>
                <w:sz w:val="20"/>
                <w:szCs w:val="20"/>
              </w:rPr>
            </w:pPr>
            <w:r w:rsidRPr="009A41C3">
              <w:rPr>
                <w:rFonts w:ascii="Arial" w:hAnsi="Arial" w:cs="Arial"/>
                <w:sz w:val="20"/>
                <w:szCs w:val="20"/>
              </w:rPr>
              <w:t>No       %</w:t>
            </w:r>
          </w:p>
          <w:p w:rsidR="009A41C3" w:rsidRPr="009A41C3" w:rsidRDefault="009A41C3" w:rsidP="009A41C3">
            <w:pPr>
              <w:spacing w:after="0"/>
              <w:jc w:val="both"/>
              <w:rPr>
                <w:rFonts w:ascii="Arial" w:eastAsia="Times New Roman" w:hAnsi="Arial" w:cs="Arial"/>
                <w:b/>
                <w:color w:val="000000"/>
                <w:sz w:val="20"/>
                <w:szCs w:val="20"/>
                <w:lang w:val="en-US" w:eastAsia="de-DE"/>
              </w:rPr>
            </w:pPr>
          </w:p>
        </w:tc>
        <w:tc>
          <w:tcPr>
            <w:tcW w:w="1091" w:type="dxa"/>
            <w:vMerge/>
            <w:tcBorders>
              <w:top w:val="nil"/>
            </w:tcBorders>
          </w:tcPr>
          <w:p w:rsidR="009A41C3" w:rsidRPr="009A41C3" w:rsidRDefault="009A41C3" w:rsidP="009A41C3">
            <w:pPr>
              <w:spacing w:after="0"/>
              <w:ind w:left="360"/>
              <w:jc w:val="both"/>
              <w:rPr>
                <w:rFonts w:ascii="Arial" w:hAnsi="Arial" w:cs="Arial"/>
                <w:sz w:val="20"/>
                <w:szCs w:val="20"/>
              </w:rPr>
            </w:pPr>
          </w:p>
        </w:tc>
        <w:tc>
          <w:tcPr>
            <w:tcW w:w="1091" w:type="dxa"/>
            <w:vMerge/>
            <w:tcBorders>
              <w:top w:val="nil"/>
            </w:tcBorders>
          </w:tcPr>
          <w:p w:rsidR="009A41C3" w:rsidRPr="009A41C3" w:rsidRDefault="009A41C3" w:rsidP="009A41C3">
            <w:pPr>
              <w:spacing w:after="0"/>
              <w:ind w:left="360"/>
              <w:jc w:val="both"/>
              <w:rPr>
                <w:rFonts w:ascii="Arial" w:hAnsi="Arial" w:cs="Arial"/>
                <w:sz w:val="20"/>
                <w:szCs w:val="20"/>
              </w:rPr>
            </w:pPr>
          </w:p>
        </w:tc>
        <w:tc>
          <w:tcPr>
            <w:tcW w:w="1167" w:type="dxa"/>
            <w:vMerge/>
            <w:tcBorders>
              <w:top w:val="nil"/>
            </w:tcBorders>
          </w:tcPr>
          <w:p w:rsidR="009A41C3" w:rsidRPr="009A41C3" w:rsidRDefault="009A41C3" w:rsidP="009A41C3">
            <w:pPr>
              <w:spacing w:after="0"/>
              <w:ind w:left="360"/>
              <w:jc w:val="both"/>
              <w:rPr>
                <w:rFonts w:ascii="Arial" w:hAnsi="Arial" w:cs="Arial"/>
                <w:sz w:val="20"/>
                <w:szCs w:val="20"/>
              </w:rPr>
            </w:pPr>
          </w:p>
        </w:tc>
      </w:tr>
      <w:tr w:rsidR="009A41C3" w:rsidRPr="009A41C3" w:rsidTr="00A73711">
        <w:trPr>
          <w:trHeight w:val="400"/>
        </w:trPr>
        <w:tc>
          <w:tcPr>
            <w:tcW w:w="2838" w:type="dxa"/>
            <w:gridSpan w:val="2"/>
            <w:vMerge/>
            <w:tcBorders>
              <w:top w:val="nil"/>
              <w:bottom w:val="single" w:sz="4" w:space="0" w:color="000000"/>
            </w:tcBorders>
          </w:tcPr>
          <w:p w:rsidR="009A41C3" w:rsidRPr="009A41C3" w:rsidRDefault="009A41C3" w:rsidP="009A41C3">
            <w:pPr>
              <w:spacing w:after="0"/>
              <w:ind w:left="360"/>
              <w:jc w:val="both"/>
              <w:rPr>
                <w:rFonts w:ascii="Arial" w:hAnsi="Arial" w:cs="Arial"/>
                <w:sz w:val="20"/>
                <w:szCs w:val="20"/>
              </w:rPr>
            </w:pPr>
          </w:p>
        </w:tc>
        <w:tc>
          <w:tcPr>
            <w:tcW w:w="509" w:type="dxa"/>
            <w:tcBorders>
              <w:top w:val="nil"/>
              <w:bottom w:val="single" w:sz="4" w:space="0" w:color="000000"/>
            </w:tcBorders>
          </w:tcPr>
          <w:p w:rsidR="009A41C3" w:rsidRPr="009A41C3" w:rsidRDefault="009A41C3" w:rsidP="009A41C3">
            <w:pPr>
              <w:spacing w:after="0"/>
              <w:jc w:val="both"/>
              <w:rPr>
                <w:rFonts w:ascii="Arial" w:hAnsi="Arial" w:cs="Arial"/>
                <w:sz w:val="20"/>
                <w:szCs w:val="20"/>
              </w:rPr>
            </w:pPr>
            <w:r w:rsidRPr="009A41C3">
              <w:rPr>
                <w:rFonts w:ascii="Arial" w:hAnsi="Arial" w:cs="Arial"/>
                <w:sz w:val="20"/>
                <w:szCs w:val="20"/>
              </w:rPr>
              <w:t>No</w:t>
            </w:r>
          </w:p>
        </w:tc>
        <w:tc>
          <w:tcPr>
            <w:tcW w:w="474" w:type="dxa"/>
            <w:tcBorders>
              <w:top w:val="nil"/>
              <w:bottom w:val="single" w:sz="4" w:space="0" w:color="000000"/>
            </w:tcBorders>
          </w:tcPr>
          <w:p w:rsidR="009A41C3" w:rsidRPr="009A41C3" w:rsidRDefault="009A41C3" w:rsidP="009A41C3">
            <w:pPr>
              <w:spacing w:after="0"/>
              <w:ind w:left="360"/>
              <w:jc w:val="both"/>
              <w:rPr>
                <w:rFonts w:ascii="Arial" w:hAnsi="Arial" w:cs="Arial"/>
                <w:sz w:val="20"/>
                <w:szCs w:val="20"/>
              </w:rPr>
            </w:pPr>
            <w:r w:rsidRPr="009A41C3">
              <w:rPr>
                <w:rFonts w:ascii="Arial" w:hAnsi="Arial" w:cs="Arial"/>
                <w:sz w:val="20"/>
                <w:szCs w:val="20"/>
              </w:rPr>
              <w:t>%</w:t>
            </w:r>
          </w:p>
        </w:tc>
        <w:tc>
          <w:tcPr>
            <w:tcW w:w="510" w:type="dxa"/>
            <w:tcBorders>
              <w:top w:val="nil"/>
              <w:bottom w:val="single" w:sz="4" w:space="0" w:color="000000"/>
            </w:tcBorders>
          </w:tcPr>
          <w:p w:rsidR="009A41C3" w:rsidRPr="009A41C3" w:rsidRDefault="009A41C3" w:rsidP="009A41C3">
            <w:pPr>
              <w:spacing w:after="0"/>
              <w:ind w:left="360"/>
              <w:jc w:val="both"/>
              <w:rPr>
                <w:rFonts w:ascii="Arial" w:hAnsi="Arial" w:cs="Arial"/>
                <w:sz w:val="20"/>
                <w:szCs w:val="20"/>
              </w:rPr>
            </w:pPr>
          </w:p>
        </w:tc>
        <w:tc>
          <w:tcPr>
            <w:tcW w:w="505" w:type="dxa"/>
            <w:tcBorders>
              <w:top w:val="nil"/>
              <w:bottom w:val="single" w:sz="4" w:space="0" w:color="000000"/>
            </w:tcBorders>
          </w:tcPr>
          <w:p w:rsidR="009A41C3" w:rsidRPr="009A41C3" w:rsidRDefault="009A41C3" w:rsidP="009A41C3">
            <w:pPr>
              <w:spacing w:after="0"/>
              <w:ind w:left="360"/>
              <w:jc w:val="both"/>
              <w:rPr>
                <w:rFonts w:ascii="Arial" w:hAnsi="Arial" w:cs="Arial"/>
                <w:sz w:val="20"/>
                <w:szCs w:val="20"/>
              </w:rPr>
            </w:pPr>
          </w:p>
        </w:tc>
        <w:tc>
          <w:tcPr>
            <w:tcW w:w="875" w:type="dxa"/>
            <w:gridSpan w:val="2"/>
            <w:vMerge/>
            <w:tcBorders>
              <w:top w:val="nil"/>
              <w:bottom w:val="single" w:sz="4" w:space="0" w:color="000000"/>
            </w:tcBorders>
          </w:tcPr>
          <w:p w:rsidR="009A41C3" w:rsidRPr="009A41C3" w:rsidRDefault="009A41C3" w:rsidP="009A41C3">
            <w:pPr>
              <w:spacing w:after="0"/>
              <w:ind w:left="360"/>
              <w:jc w:val="both"/>
              <w:rPr>
                <w:rFonts w:ascii="Arial" w:hAnsi="Arial" w:cs="Arial"/>
                <w:sz w:val="20"/>
                <w:szCs w:val="20"/>
              </w:rPr>
            </w:pPr>
          </w:p>
        </w:tc>
        <w:tc>
          <w:tcPr>
            <w:tcW w:w="1091" w:type="dxa"/>
            <w:tcBorders>
              <w:top w:val="nil"/>
              <w:bottom w:val="single" w:sz="4" w:space="0" w:color="000000"/>
            </w:tcBorders>
          </w:tcPr>
          <w:p w:rsidR="009A41C3" w:rsidRPr="009A41C3" w:rsidRDefault="009A41C3" w:rsidP="009A41C3">
            <w:pPr>
              <w:spacing w:after="0"/>
              <w:ind w:left="360"/>
              <w:jc w:val="both"/>
              <w:rPr>
                <w:rFonts w:ascii="Arial" w:hAnsi="Arial" w:cs="Arial"/>
                <w:sz w:val="20"/>
                <w:szCs w:val="20"/>
              </w:rPr>
            </w:pPr>
          </w:p>
        </w:tc>
        <w:tc>
          <w:tcPr>
            <w:tcW w:w="1091" w:type="dxa"/>
            <w:tcBorders>
              <w:top w:val="nil"/>
              <w:bottom w:val="single" w:sz="4" w:space="0" w:color="000000"/>
            </w:tcBorders>
          </w:tcPr>
          <w:p w:rsidR="009A41C3" w:rsidRPr="009A41C3" w:rsidRDefault="009A41C3" w:rsidP="009A41C3">
            <w:pPr>
              <w:spacing w:after="0"/>
              <w:ind w:left="360"/>
              <w:jc w:val="both"/>
              <w:rPr>
                <w:rFonts w:ascii="Arial" w:hAnsi="Arial" w:cs="Arial"/>
                <w:sz w:val="20"/>
                <w:szCs w:val="20"/>
              </w:rPr>
            </w:pPr>
          </w:p>
        </w:tc>
        <w:tc>
          <w:tcPr>
            <w:tcW w:w="1167" w:type="dxa"/>
            <w:tcBorders>
              <w:top w:val="nil"/>
              <w:bottom w:val="single" w:sz="4" w:space="0" w:color="000000"/>
            </w:tcBorders>
          </w:tcPr>
          <w:p w:rsidR="009A41C3" w:rsidRPr="009A41C3" w:rsidRDefault="009A41C3" w:rsidP="009A41C3">
            <w:pPr>
              <w:spacing w:after="0"/>
              <w:ind w:left="360"/>
              <w:jc w:val="both"/>
              <w:rPr>
                <w:rFonts w:ascii="Arial" w:hAnsi="Arial" w:cs="Arial"/>
                <w:sz w:val="20"/>
                <w:szCs w:val="20"/>
              </w:rPr>
            </w:pPr>
          </w:p>
        </w:tc>
      </w:tr>
      <w:tr w:rsidR="009A41C3" w:rsidRPr="009A41C3" w:rsidTr="00A73711">
        <w:trPr>
          <w:trHeight w:val="567"/>
        </w:trPr>
        <w:tc>
          <w:tcPr>
            <w:tcW w:w="1357" w:type="dxa"/>
            <w:vMerge w:val="restart"/>
            <w:tcBorders>
              <w:top w:val="single" w:sz="4" w:space="0" w:color="000000"/>
            </w:tcBorders>
          </w:tcPr>
          <w:p w:rsidR="009A41C3" w:rsidRPr="009A41C3" w:rsidRDefault="009A41C3" w:rsidP="009A41C3">
            <w:pPr>
              <w:spacing w:after="0"/>
              <w:ind w:left="360"/>
              <w:jc w:val="both"/>
              <w:rPr>
                <w:rFonts w:ascii="Arial" w:hAnsi="Arial" w:cs="Arial"/>
                <w:sz w:val="20"/>
                <w:szCs w:val="20"/>
              </w:rPr>
            </w:pPr>
          </w:p>
          <w:p w:rsidR="009A41C3" w:rsidRPr="009A41C3" w:rsidRDefault="009A41C3" w:rsidP="009A41C3">
            <w:pPr>
              <w:spacing w:after="0"/>
              <w:ind w:left="360"/>
              <w:jc w:val="both"/>
              <w:rPr>
                <w:rFonts w:ascii="Arial" w:hAnsi="Arial" w:cs="Arial"/>
                <w:sz w:val="20"/>
                <w:szCs w:val="20"/>
              </w:rPr>
            </w:pPr>
            <w:r w:rsidRPr="009A41C3">
              <w:rPr>
                <w:rFonts w:ascii="Arial" w:hAnsi="Arial" w:cs="Arial"/>
                <w:sz w:val="20"/>
                <w:szCs w:val="20"/>
              </w:rPr>
              <w:t>Sexo</w:t>
            </w:r>
          </w:p>
        </w:tc>
        <w:tc>
          <w:tcPr>
            <w:tcW w:w="1481" w:type="dxa"/>
            <w:tcBorders>
              <w:top w:val="single" w:sz="4" w:space="0" w:color="000000"/>
            </w:tcBorders>
          </w:tcPr>
          <w:p w:rsidR="009A41C3" w:rsidRPr="009A41C3" w:rsidRDefault="009A41C3" w:rsidP="009A41C3">
            <w:pPr>
              <w:spacing w:after="0"/>
              <w:ind w:left="360"/>
              <w:jc w:val="both"/>
              <w:rPr>
                <w:rFonts w:ascii="Arial" w:hAnsi="Arial" w:cs="Arial"/>
                <w:sz w:val="20"/>
                <w:szCs w:val="20"/>
              </w:rPr>
            </w:pPr>
            <w:r w:rsidRPr="009A41C3">
              <w:rPr>
                <w:rFonts w:ascii="Arial" w:hAnsi="Arial" w:cs="Arial"/>
                <w:sz w:val="20"/>
                <w:szCs w:val="20"/>
              </w:rPr>
              <w:t>Femenino</w:t>
            </w:r>
          </w:p>
          <w:p w:rsidR="009A41C3" w:rsidRPr="009A41C3" w:rsidRDefault="009A41C3" w:rsidP="009A41C3">
            <w:pPr>
              <w:spacing w:after="0"/>
              <w:jc w:val="both"/>
              <w:rPr>
                <w:rFonts w:ascii="Arial" w:eastAsia="Times New Roman" w:hAnsi="Arial" w:cs="Arial"/>
                <w:color w:val="000000"/>
                <w:sz w:val="20"/>
                <w:szCs w:val="20"/>
                <w:lang w:val="en-US" w:eastAsia="de-DE"/>
              </w:rPr>
            </w:pPr>
          </w:p>
        </w:tc>
        <w:tc>
          <w:tcPr>
            <w:tcW w:w="509" w:type="dxa"/>
            <w:tcBorders>
              <w:top w:val="single" w:sz="4" w:space="0" w:color="000000"/>
            </w:tcBorders>
          </w:tcPr>
          <w:p w:rsidR="009A41C3" w:rsidRPr="009A41C3" w:rsidRDefault="009A41C3" w:rsidP="009A41C3">
            <w:pPr>
              <w:spacing w:after="0"/>
              <w:ind w:left="360"/>
              <w:jc w:val="both"/>
              <w:rPr>
                <w:rFonts w:ascii="Arial" w:hAnsi="Arial" w:cs="Arial"/>
                <w:sz w:val="20"/>
                <w:szCs w:val="20"/>
              </w:rPr>
            </w:pPr>
            <w:r w:rsidRPr="009A41C3">
              <w:rPr>
                <w:rFonts w:ascii="Arial" w:hAnsi="Arial" w:cs="Arial"/>
                <w:sz w:val="20"/>
                <w:szCs w:val="20"/>
              </w:rPr>
              <w:t>19</w:t>
            </w:r>
          </w:p>
        </w:tc>
        <w:tc>
          <w:tcPr>
            <w:tcW w:w="474" w:type="dxa"/>
            <w:tcBorders>
              <w:top w:val="single" w:sz="4" w:space="0" w:color="000000"/>
            </w:tcBorders>
          </w:tcPr>
          <w:p w:rsidR="009A41C3" w:rsidRPr="009A41C3" w:rsidRDefault="009A41C3" w:rsidP="009A41C3">
            <w:pPr>
              <w:spacing w:after="0"/>
              <w:ind w:left="360"/>
              <w:jc w:val="both"/>
              <w:rPr>
                <w:rFonts w:ascii="Arial" w:hAnsi="Arial" w:cs="Arial"/>
                <w:sz w:val="20"/>
                <w:szCs w:val="20"/>
              </w:rPr>
            </w:pPr>
            <w:r w:rsidRPr="009A41C3">
              <w:rPr>
                <w:rFonts w:ascii="Arial" w:hAnsi="Arial" w:cs="Arial"/>
                <w:sz w:val="20"/>
                <w:szCs w:val="20"/>
              </w:rPr>
              <w:t>83</w:t>
            </w:r>
          </w:p>
        </w:tc>
        <w:tc>
          <w:tcPr>
            <w:tcW w:w="510" w:type="dxa"/>
            <w:tcBorders>
              <w:top w:val="single" w:sz="4" w:space="0" w:color="000000"/>
            </w:tcBorders>
          </w:tcPr>
          <w:p w:rsidR="009A41C3" w:rsidRPr="009A41C3" w:rsidRDefault="009A41C3" w:rsidP="009A41C3">
            <w:pPr>
              <w:spacing w:after="0"/>
              <w:ind w:left="360"/>
              <w:jc w:val="both"/>
              <w:rPr>
                <w:rFonts w:ascii="Arial" w:hAnsi="Arial" w:cs="Arial"/>
                <w:sz w:val="20"/>
                <w:szCs w:val="20"/>
              </w:rPr>
            </w:pPr>
          </w:p>
        </w:tc>
        <w:tc>
          <w:tcPr>
            <w:tcW w:w="505" w:type="dxa"/>
            <w:tcBorders>
              <w:top w:val="single" w:sz="4" w:space="0" w:color="000000"/>
            </w:tcBorders>
          </w:tcPr>
          <w:p w:rsidR="009A41C3" w:rsidRPr="009A41C3" w:rsidRDefault="009A41C3" w:rsidP="009A41C3">
            <w:pPr>
              <w:spacing w:after="0"/>
              <w:ind w:left="360"/>
              <w:jc w:val="both"/>
              <w:rPr>
                <w:rFonts w:ascii="Arial" w:hAnsi="Arial" w:cs="Arial"/>
                <w:sz w:val="20"/>
                <w:szCs w:val="20"/>
              </w:rPr>
            </w:pPr>
          </w:p>
        </w:tc>
        <w:tc>
          <w:tcPr>
            <w:tcW w:w="375" w:type="dxa"/>
            <w:tcBorders>
              <w:top w:val="single" w:sz="4" w:space="0" w:color="000000"/>
            </w:tcBorders>
          </w:tcPr>
          <w:p w:rsidR="009A41C3" w:rsidRPr="009A41C3" w:rsidRDefault="009A41C3" w:rsidP="009A41C3">
            <w:pPr>
              <w:spacing w:after="0"/>
              <w:ind w:left="360"/>
              <w:jc w:val="both"/>
              <w:rPr>
                <w:rFonts w:ascii="Arial" w:hAnsi="Arial" w:cs="Arial"/>
                <w:sz w:val="20"/>
                <w:szCs w:val="20"/>
              </w:rPr>
            </w:pPr>
            <w:r w:rsidRPr="009A41C3">
              <w:rPr>
                <w:rFonts w:ascii="Arial" w:hAnsi="Arial" w:cs="Arial"/>
                <w:sz w:val="20"/>
                <w:szCs w:val="20"/>
              </w:rPr>
              <w:t>9</w:t>
            </w:r>
          </w:p>
        </w:tc>
        <w:tc>
          <w:tcPr>
            <w:tcW w:w="500" w:type="dxa"/>
            <w:tcBorders>
              <w:top w:val="single" w:sz="4" w:space="0" w:color="000000"/>
            </w:tcBorders>
          </w:tcPr>
          <w:p w:rsidR="009A41C3" w:rsidRPr="009A41C3" w:rsidRDefault="009A41C3" w:rsidP="009A41C3">
            <w:pPr>
              <w:spacing w:after="0"/>
              <w:ind w:left="360"/>
              <w:jc w:val="both"/>
              <w:rPr>
                <w:rFonts w:ascii="Arial" w:hAnsi="Arial" w:cs="Arial"/>
                <w:sz w:val="20"/>
                <w:szCs w:val="20"/>
              </w:rPr>
            </w:pPr>
            <w:r w:rsidRPr="009A41C3">
              <w:rPr>
                <w:rFonts w:ascii="Arial" w:hAnsi="Arial" w:cs="Arial"/>
                <w:sz w:val="20"/>
                <w:szCs w:val="20"/>
              </w:rPr>
              <w:t>60</w:t>
            </w:r>
          </w:p>
        </w:tc>
        <w:tc>
          <w:tcPr>
            <w:tcW w:w="1091" w:type="dxa"/>
            <w:tcBorders>
              <w:top w:val="single" w:sz="4" w:space="0" w:color="000000"/>
            </w:tcBorders>
          </w:tcPr>
          <w:p w:rsidR="009A41C3" w:rsidRPr="009A41C3" w:rsidRDefault="009A41C3" w:rsidP="009A41C3">
            <w:pPr>
              <w:spacing w:after="0"/>
              <w:ind w:left="360"/>
              <w:jc w:val="both"/>
              <w:rPr>
                <w:rFonts w:ascii="Arial" w:hAnsi="Arial" w:cs="Arial"/>
                <w:sz w:val="20"/>
                <w:szCs w:val="20"/>
              </w:rPr>
            </w:pPr>
          </w:p>
        </w:tc>
        <w:tc>
          <w:tcPr>
            <w:tcW w:w="1091" w:type="dxa"/>
            <w:tcBorders>
              <w:top w:val="single" w:sz="4" w:space="0" w:color="000000"/>
            </w:tcBorders>
          </w:tcPr>
          <w:p w:rsidR="009A41C3" w:rsidRPr="009A41C3" w:rsidRDefault="009A41C3" w:rsidP="009A41C3">
            <w:pPr>
              <w:spacing w:after="0"/>
              <w:ind w:left="360"/>
              <w:jc w:val="both"/>
              <w:rPr>
                <w:rFonts w:ascii="Arial" w:hAnsi="Arial" w:cs="Arial"/>
                <w:sz w:val="20"/>
                <w:szCs w:val="20"/>
              </w:rPr>
            </w:pPr>
            <w:r w:rsidRPr="009A41C3">
              <w:rPr>
                <w:rFonts w:ascii="Arial" w:hAnsi="Arial" w:cs="Arial"/>
                <w:sz w:val="20"/>
                <w:szCs w:val="20"/>
              </w:rPr>
              <w:t>0.06</w:t>
            </w:r>
          </w:p>
        </w:tc>
        <w:tc>
          <w:tcPr>
            <w:tcW w:w="1167" w:type="dxa"/>
            <w:tcBorders>
              <w:top w:val="single" w:sz="4" w:space="0" w:color="000000"/>
            </w:tcBorders>
          </w:tcPr>
          <w:p w:rsidR="009A41C3" w:rsidRPr="009A41C3" w:rsidRDefault="009A41C3" w:rsidP="009A41C3">
            <w:pPr>
              <w:spacing w:after="0"/>
              <w:ind w:left="360"/>
              <w:jc w:val="both"/>
              <w:rPr>
                <w:rFonts w:ascii="Arial" w:hAnsi="Arial" w:cs="Arial"/>
                <w:sz w:val="20"/>
                <w:szCs w:val="20"/>
              </w:rPr>
            </w:pPr>
          </w:p>
        </w:tc>
      </w:tr>
      <w:tr w:rsidR="009A41C3" w:rsidRPr="009A41C3" w:rsidTr="00A73711">
        <w:trPr>
          <w:trHeight w:val="693"/>
        </w:trPr>
        <w:tc>
          <w:tcPr>
            <w:tcW w:w="1357" w:type="dxa"/>
            <w:vMerge/>
            <w:tcBorders>
              <w:bottom w:val="nil"/>
            </w:tcBorders>
          </w:tcPr>
          <w:p w:rsidR="009A41C3" w:rsidRPr="009A41C3" w:rsidRDefault="009A41C3" w:rsidP="009A41C3">
            <w:pPr>
              <w:spacing w:after="0"/>
              <w:ind w:left="360"/>
              <w:jc w:val="both"/>
              <w:rPr>
                <w:rFonts w:ascii="Arial" w:hAnsi="Arial" w:cs="Arial"/>
                <w:sz w:val="20"/>
                <w:szCs w:val="20"/>
              </w:rPr>
            </w:pPr>
          </w:p>
        </w:tc>
        <w:tc>
          <w:tcPr>
            <w:tcW w:w="1481" w:type="dxa"/>
            <w:tcBorders>
              <w:bottom w:val="nil"/>
            </w:tcBorders>
          </w:tcPr>
          <w:p w:rsidR="009A41C3" w:rsidRPr="009A41C3" w:rsidRDefault="009A41C3" w:rsidP="009A41C3">
            <w:pPr>
              <w:spacing w:after="0"/>
              <w:ind w:left="360"/>
              <w:jc w:val="both"/>
              <w:rPr>
                <w:rFonts w:ascii="Arial" w:hAnsi="Arial" w:cs="Arial"/>
                <w:sz w:val="20"/>
                <w:szCs w:val="20"/>
              </w:rPr>
            </w:pPr>
            <w:r w:rsidRPr="009A41C3">
              <w:rPr>
                <w:rFonts w:ascii="Arial" w:hAnsi="Arial" w:cs="Arial"/>
                <w:sz w:val="20"/>
                <w:szCs w:val="20"/>
              </w:rPr>
              <w:t>Masculino</w:t>
            </w:r>
          </w:p>
          <w:p w:rsidR="009A41C3" w:rsidRPr="009A41C3" w:rsidRDefault="009A41C3" w:rsidP="009A41C3">
            <w:pPr>
              <w:spacing w:after="0"/>
              <w:jc w:val="both"/>
              <w:rPr>
                <w:rFonts w:ascii="Arial" w:eastAsia="Times New Roman" w:hAnsi="Arial" w:cs="Arial"/>
                <w:color w:val="000000"/>
                <w:sz w:val="20"/>
                <w:szCs w:val="20"/>
                <w:lang w:val="en-US" w:eastAsia="de-DE"/>
              </w:rPr>
            </w:pPr>
          </w:p>
        </w:tc>
        <w:tc>
          <w:tcPr>
            <w:tcW w:w="509" w:type="dxa"/>
            <w:tcBorders>
              <w:bottom w:val="nil"/>
            </w:tcBorders>
          </w:tcPr>
          <w:p w:rsidR="009A41C3" w:rsidRPr="009A41C3" w:rsidRDefault="009A41C3" w:rsidP="009A41C3">
            <w:pPr>
              <w:spacing w:after="0"/>
              <w:ind w:left="360"/>
              <w:jc w:val="both"/>
              <w:rPr>
                <w:rFonts w:ascii="Arial" w:hAnsi="Arial" w:cs="Arial"/>
                <w:sz w:val="20"/>
                <w:szCs w:val="20"/>
              </w:rPr>
            </w:pPr>
            <w:r w:rsidRPr="009A41C3">
              <w:rPr>
                <w:rFonts w:ascii="Arial" w:hAnsi="Arial" w:cs="Arial"/>
                <w:sz w:val="20"/>
                <w:szCs w:val="20"/>
              </w:rPr>
              <w:t>4</w:t>
            </w:r>
          </w:p>
        </w:tc>
        <w:tc>
          <w:tcPr>
            <w:tcW w:w="474" w:type="dxa"/>
            <w:tcBorders>
              <w:bottom w:val="nil"/>
            </w:tcBorders>
          </w:tcPr>
          <w:p w:rsidR="009A41C3" w:rsidRPr="009A41C3" w:rsidRDefault="009A41C3" w:rsidP="009A41C3">
            <w:pPr>
              <w:spacing w:after="0"/>
              <w:ind w:left="360"/>
              <w:jc w:val="both"/>
              <w:rPr>
                <w:rFonts w:ascii="Arial" w:hAnsi="Arial" w:cs="Arial"/>
                <w:sz w:val="20"/>
                <w:szCs w:val="20"/>
              </w:rPr>
            </w:pPr>
            <w:r w:rsidRPr="009A41C3">
              <w:rPr>
                <w:rFonts w:ascii="Arial" w:hAnsi="Arial" w:cs="Arial"/>
                <w:sz w:val="20"/>
                <w:szCs w:val="20"/>
              </w:rPr>
              <w:t>17</w:t>
            </w:r>
          </w:p>
        </w:tc>
        <w:tc>
          <w:tcPr>
            <w:tcW w:w="510" w:type="dxa"/>
            <w:tcBorders>
              <w:bottom w:val="nil"/>
            </w:tcBorders>
          </w:tcPr>
          <w:p w:rsidR="009A41C3" w:rsidRPr="009A41C3" w:rsidRDefault="009A41C3" w:rsidP="009A41C3">
            <w:pPr>
              <w:spacing w:after="0"/>
              <w:ind w:left="360"/>
              <w:jc w:val="both"/>
              <w:rPr>
                <w:rFonts w:ascii="Arial" w:hAnsi="Arial" w:cs="Arial"/>
                <w:sz w:val="20"/>
                <w:szCs w:val="20"/>
              </w:rPr>
            </w:pPr>
          </w:p>
        </w:tc>
        <w:tc>
          <w:tcPr>
            <w:tcW w:w="505" w:type="dxa"/>
            <w:tcBorders>
              <w:bottom w:val="nil"/>
            </w:tcBorders>
          </w:tcPr>
          <w:p w:rsidR="009A41C3" w:rsidRPr="009A41C3" w:rsidRDefault="009A41C3" w:rsidP="009A41C3">
            <w:pPr>
              <w:spacing w:after="0"/>
              <w:ind w:left="360"/>
              <w:jc w:val="both"/>
              <w:rPr>
                <w:rFonts w:ascii="Arial" w:hAnsi="Arial" w:cs="Arial"/>
                <w:sz w:val="20"/>
                <w:szCs w:val="20"/>
              </w:rPr>
            </w:pPr>
          </w:p>
        </w:tc>
        <w:tc>
          <w:tcPr>
            <w:tcW w:w="375" w:type="dxa"/>
            <w:tcBorders>
              <w:bottom w:val="nil"/>
            </w:tcBorders>
          </w:tcPr>
          <w:p w:rsidR="009A41C3" w:rsidRPr="009A41C3" w:rsidRDefault="009A41C3" w:rsidP="009A41C3">
            <w:pPr>
              <w:spacing w:after="0"/>
              <w:ind w:left="360"/>
              <w:jc w:val="both"/>
              <w:rPr>
                <w:rFonts w:ascii="Arial" w:hAnsi="Arial" w:cs="Arial"/>
                <w:sz w:val="20"/>
                <w:szCs w:val="20"/>
              </w:rPr>
            </w:pPr>
            <w:r w:rsidRPr="009A41C3">
              <w:rPr>
                <w:rFonts w:ascii="Arial" w:hAnsi="Arial" w:cs="Arial"/>
                <w:sz w:val="20"/>
                <w:szCs w:val="20"/>
              </w:rPr>
              <w:t>6</w:t>
            </w:r>
          </w:p>
        </w:tc>
        <w:tc>
          <w:tcPr>
            <w:tcW w:w="500" w:type="dxa"/>
            <w:tcBorders>
              <w:bottom w:val="nil"/>
            </w:tcBorders>
          </w:tcPr>
          <w:p w:rsidR="009A41C3" w:rsidRPr="009A41C3" w:rsidRDefault="009A41C3" w:rsidP="009A41C3">
            <w:pPr>
              <w:spacing w:after="0"/>
              <w:ind w:left="360"/>
              <w:jc w:val="both"/>
              <w:rPr>
                <w:rFonts w:ascii="Arial" w:hAnsi="Arial" w:cs="Arial"/>
                <w:sz w:val="20"/>
                <w:szCs w:val="20"/>
              </w:rPr>
            </w:pPr>
            <w:r w:rsidRPr="009A41C3">
              <w:rPr>
                <w:rFonts w:ascii="Arial" w:hAnsi="Arial" w:cs="Arial"/>
                <w:sz w:val="20"/>
                <w:szCs w:val="20"/>
              </w:rPr>
              <w:t>40</w:t>
            </w:r>
          </w:p>
        </w:tc>
        <w:tc>
          <w:tcPr>
            <w:tcW w:w="1091" w:type="dxa"/>
            <w:tcBorders>
              <w:bottom w:val="nil"/>
            </w:tcBorders>
          </w:tcPr>
          <w:p w:rsidR="009A41C3" w:rsidRPr="009A41C3" w:rsidRDefault="009A41C3" w:rsidP="009A41C3">
            <w:pPr>
              <w:spacing w:after="0"/>
              <w:ind w:left="360"/>
              <w:jc w:val="both"/>
              <w:rPr>
                <w:rFonts w:ascii="Arial" w:hAnsi="Arial" w:cs="Arial"/>
                <w:sz w:val="20"/>
                <w:szCs w:val="20"/>
              </w:rPr>
            </w:pPr>
          </w:p>
        </w:tc>
        <w:tc>
          <w:tcPr>
            <w:tcW w:w="1091" w:type="dxa"/>
            <w:tcBorders>
              <w:bottom w:val="nil"/>
            </w:tcBorders>
          </w:tcPr>
          <w:p w:rsidR="009A41C3" w:rsidRPr="009A41C3" w:rsidRDefault="009A41C3" w:rsidP="009A41C3">
            <w:pPr>
              <w:spacing w:after="0"/>
              <w:ind w:left="360"/>
              <w:jc w:val="both"/>
              <w:rPr>
                <w:rFonts w:ascii="Arial" w:hAnsi="Arial" w:cs="Arial"/>
                <w:sz w:val="20"/>
                <w:szCs w:val="20"/>
              </w:rPr>
            </w:pPr>
            <w:r w:rsidRPr="009A41C3">
              <w:rPr>
                <w:rFonts w:ascii="Arial" w:hAnsi="Arial" w:cs="Arial"/>
                <w:sz w:val="20"/>
                <w:szCs w:val="20"/>
              </w:rPr>
              <w:t>0.06</w:t>
            </w:r>
          </w:p>
        </w:tc>
        <w:tc>
          <w:tcPr>
            <w:tcW w:w="1167" w:type="dxa"/>
            <w:tcBorders>
              <w:bottom w:val="nil"/>
            </w:tcBorders>
          </w:tcPr>
          <w:p w:rsidR="009A41C3" w:rsidRPr="009A41C3" w:rsidRDefault="009A41C3" w:rsidP="009A41C3">
            <w:pPr>
              <w:spacing w:after="0"/>
              <w:ind w:left="360"/>
              <w:jc w:val="both"/>
              <w:rPr>
                <w:rFonts w:ascii="Arial" w:hAnsi="Arial" w:cs="Arial"/>
                <w:sz w:val="20"/>
                <w:szCs w:val="20"/>
              </w:rPr>
            </w:pPr>
          </w:p>
        </w:tc>
      </w:tr>
      <w:tr w:rsidR="009A41C3" w:rsidRPr="009A41C3" w:rsidTr="00A73711">
        <w:trPr>
          <w:trHeight w:val="1434"/>
        </w:trPr>
        <w:tc>
          <w:tcPr>
            <w:tcW w:w="1357" w:type="dxa"/>
            <w:vMerge w:val="restart"/>
            <w:tcBorders>
              <w:top w:val="nil"/>
            </w:tcBorders>
          </w:tcPr>
          <w:p w:rsidR="009A41C3" w:rsidRPr="009A41C3" w:rsidRDefault="009A41C3" w:rsidP="009A41C3">
            <w:pPr>
              <w:spacing w:after="0"/>
              <w:ind w:left="360"/>
              <w:jc w:val="both"/>
              <w:rPr>
                <w:rFonts w:ascii="Arial" w:hAnsi="Arial" w:cs="Arial"/>
                <w:sz w:val="20"/>
                <w:szCs w:val="20"/>
              </w:rPr>
            </w:pPr>
          </w:p>
          <w:p w:rsidR="009A41C3" w:rsidRPr="009A41C3" w:rsidRDefault="009A41C3" w:rsidP="009A41C3">
            <w:pPr>
              <w:spacing w:after="0"/>
              <w:jc w:val="both"/>
              <w:rPr>
                <w:rFonts w:ascii="Arial" w:eastAsia="Times New Roman" w:hAnsi="Arial" w:cs="Arial"/>
                <w:color w:val="000000"/>
                <w:sz w:val="20"/>
                <w:szCs w:val="20"/>
                <w:lang w:val="en-US" w:eastAsia="de-DE"/>
              </w:rPr>
            </w:pPr>
          </w:p>
          <w:p w:rsidR="009A41C3" w:rsidRPr="009A41C3" w:rsidRDefault="009A41C3" w:rsidP="009A41C3">
            <w:pPr>
              <w:spacing w:after="0"/>
              <w:jc w:val="both"/>
              <w:rPr>
                <w:rFonts w:ascii="Arial" w:eastAsia="Times New Roman" w:hAnsi="Arial" w:cs="Arial"/>
                <w:color w:val="000000"/>
                <w:sz w:val="20"/>
                <w:szCs w:val="20"/>
                <w:lang w:val="en-US" w:eastAsia="de-DE"/>
              </w:rPr>
            </w:pPr>
          </w:p>
          <w:p w:rsidR="009A41C3" w:rsidRPr="009A41C3" w:rsidRDefault="009A41C3" w:rsidP="009A41C3">
            <w:pPr>
              <w:spacing w:after="0"/>
              <w:ind w:left="360"/>
              <w:jc w:val="both"/>
              <w:rPr>
                <w:rFonts w:ascii="Arial" w:hAnsi="Arial" w:cs="Arial"/>
                <w:strike/>
                <w:sz w:val="20"/>
                <w:szCs w:val="20"/>
              </w:rPr>
            </w:pPr>
            <w:r w:rsidRPr="009A41C3">
              <w:rPr>
                <w:rFonts w:ascii="Arial" w:hAnsi="Arial" w:cs="Arial"/>
                <w:sz w:val="20"/>
                <w:szCs w:val="20"/>
              </w:rPr>
              <w:t xml:space="preserve">Rango de edad </w:t>
            </w:r>
          </w:p>
        </w:tc>
        <w:tc>
          <w:tcPr>
            <w:tcW w:w="1481" w:type="dxa"/>
            <w:tcBorders>
              <w:top w:val="nil"/>
            </w:tcBorders>
          </w:tcPr>
          <w:p w:rsidR="009A41C3" w:rsidRPr="009A41C3" w:rsidRDefault="009A41C3" w:rsidP="009A41C3">
            <w:pPr>
              <w:spacing w:after="0"/>
              <w:ind w:left="360"/>
              <w:jc w:val="both"/>
              <w:rPr>
                <w:rFonts w:ascii="Arial" w:hAnsi="Arial" w:cs="Arial"/>
                <w:strike/>
                <w:sz w:val="20"/>
                <w:szCs w:val="20"/>
              </w:rPr>
            </w:pPr>
          </w:p>
          <w:p w:rsidR="009A41C3" w:rsidRPr="009A41C3" w:rsidRDefault="009A41C3" w:rsidP="009A41C3">
            <w:pPr>
              <w:spacing w:after="0"/>
              <w:jc w:val="both"/>
              <w:rPr>
                <w:rFonts w:ascii="Arial" w:eastAsia="Times New Roman" w:hAnsi="Arial" w:cs="Arial"/>
                <w:color w:val="000000"/>
                <w:sz w:val="20"/>
                <w:szCs w:val="20"/>
                <w:lang w:val="en-US" w:eastAsia="de-DE"/>
              </w:rPr>
            </w:pPr>
          </w:p>
          <w:p w:rsidR="009A41C3" w:rsidRPr="009A41C3" w:rsidRDefault="009A41C3" w:rsidP="009A41C3">
            <w:pPr>
              <w:spacing w:after="0"/>
              <w:ind w:left="360"/>
              <w:jc w:val="both"/>
              <w:rPr>
                <w:rFonts w:ascii="Arial" w:hAnsi="Arial" w:cs="Arial"/>
                <w:sz w:val="20"/>
                <w:szCs w:val="20"/>
              </w:rPr>
            </w:pPr>
            <w:r w:rsidRPr="009A41C3">
              <w:rPr>
                <w:rFonts w:ascii="Arial" w:hAnsi="Arial" w:cs="Arial"/>
                <w:sz w:val="20"/>
                <w:szCs w:val="20"/>
              </w:rPr>
              <w:t>12-17</w:t>
            </w:r>
          </w:p>
        </w:tc>
        <w:tc>
          <w:tcPr>
            <w:tcW w:w="509" w:type="dxa"/>
            <w:tcBorders>
              <w:top w:val="nil"/>
            </w:tcBorders>
          </w:tcPr>
          <w:p w:rsidR="009A41C3" w:rsidRPr="009A41C3" w:rsidRDefault="009A41C3" w:rsidP="009A41C3">
            <w:pPr>
              <w:spacing w:after="0"/>
              <w:ind w:left="360"/>
              <w:jc w:val="both"/>
              <w:rPr>
                <w:rFonts w:ascii="Arial" w:hAnsi="Arial" w:cs="Arial"/>
                <w:sz w:val="20"/>
                <w:szCs w:val="20"/>
              </w:rPr>
            </w:pPr>
          </w:p>
          <w:p w:rsidR="009A41C3" w:rsidRPr="009A41C3" w:rsidRDefault="009A41C3" w:rsidP="009A41C3">
            <w:pPr>
              <w:spacing w:after="0"/>
              <w:jc w:val="both"/>
              <w:rPr>
                <w:rFonts w:ascii="Arial" w:eastAsia="Times New Roman" w:hAnsi="Arial" w:cs="Arial"/>
                <w:color w:val="000000"/>
                <w:sz w:val="20"/>
                <w:szCs w:val="20"/>
                <w:lang w:val="en-US" w:eastAsia="de-DE"/>
              </w:rPr>
            </w:pPr>
          </w:p>
          <w:p w:rsidR="009A41C3" w:rsidRPr="009A41C3" w:rsidRDefault="009A41C3" w:rsidP="009A41C3">
            <w:pPr>
              <w:spacing w:after="0"/>
              <w:ind w:left="360"/>
              <w:jc w:val="both"/>
              <w:rPr>
                <w:rFonts w:ascii="Arial" w:hAnsi="Arial" w:cs="Arial"/>
                <w:sz w:val="20"/>
                <w:szCs w:val="20"/>
              </w:rPr>
            </w:pPr>
            <w:r w:rsidRPr="009A41C3">
              <w:rPr>
                <w:rFonts w:ascii="Arial" w:hAnsi="Arial" w:cs="Arial"/>
                <w:sz w:val="20"/>
                <w:szCs w:val="20"/>
              </w:rPr>
              <w:t>6</w:t>
            </w:r>
          </w:p>
        </w:tc>
        <w:tc>
          <w:tcPr>
            <w:tcW w:w="474" w:type="dxa"/>
            <w:tcBorders>
              <w:top w:val="nil"/>
            </w:tcBorders>
          </w:tcPr>
          <w:p w:rsidR="009A41C3" w:rsidRPr="009A41C3" w:rsidRDefault="009A41C3" w:rsidP="009A41C3">
            <w:pPr>
              <w:spacing w:after="0"/>
              <w:ind w:left="360"/>
              <w:jc w:val="both"/>
              <w:rPr>
                <w:rFonts w:ascii="Arial" w:hAnsi="Arial" w:cs="Arial"/>
                <w:sz w:val="20"/>
                <w:szCs w:val="20"/>
              </w:rPr>
            </w:pPr>
          </w:p>
          <w:p w:rsidR="009A41C3" w:rsidRPr="009A41C3" w:rsidRDefault="009A41C3" w:rsidP="009A41C3">
            <w:pPr>
              <w:spacing w:after="0"/>
              <w:jc w:val="both"/>
              <w:rPr>
                <w:rFonts w:ascii="Arial" w:eastAsia="Times New Roman" w:hAnsi="Arial" w:cs="Arial"/>
                <w:color w:val="000000"/>
                <w:sz w:val="20"/>
                <w:szCs w:val="20"/>
                <w:lang w:val="en-US" w:eastAsia="de-DE"/>
              </w:rPr>
            </w:pPr>
          </w:p>
          <w:p w:rsidR="009A41C3" w:rsidRPr="009A41C3" w:rsidRDefault="009A41C3" w:rsidP="009A41C3">
            <w:pPr>
              <w:spacing w:after="0"/>
              <w:ind w:left="360"/>
              <w:jc w:val="both"/>
              <w:rPr>
                <w:rFonts w:ascii="Arial" w:hAnsi="Arial" w:cs="Arial"/>
                <w:sz w:val="20"/>
                <w:szCs w:val="20"/>
              </w:rPr>
            </w:pPr>
            <w:r w:rsidRPr="009A41C3">
              <w:rPr>
                <w:rFonts w:ascii="Arial" w:hAnsi="Arial" w:cs="Arial"/>
                <w:sz w:val="20"/>
                <w:szCs w:val="20"/>
              </w:rPr>
              <w:t>26</w:t>
            </w:r>
          </w:p>
        </w:tc>
        <w:tc>
          <w:tcPr>
            <w:tcW w:w="510" w:type="dxa"/>
            <w:tcBorders>
              <w:top w:val="nil"/>
            </w:tcBorders>
          </w:tcPr>
          <w:p w:rsidR="009A41C3" w:rsidRPr="009A41C3" w:rsidRDefault="009A41C3" w:rsidP="009A41C3">
            <w:pPr>
              <w:spacing w:after="0"/>
              <w:ind w:left="360"/>
              <w:jc w:val="both"/>
              <w:rPr>
                <w:rFonts w:ascii="Arial" w:hAnsi="Arial" w:cs="Arial"/>
                <w:sz w:val="20"/>
                <w:szCs w:val="20"/>
              </w:rPr>
            </w:pPr>
          </w:p>
        </w:tc>
        <w:tc>
          <w:tcPr>
            <w:tcW w:w="505" w:type="dxa"/>
            <w:tcBorders>
              <w:top w:val="nil"/>
            </w:tcBorders>
          </w:tcPr>
          <w:p w:rsidR="009A41C3" w:rsidRPr="009A41C3" w:rsidRDefault="009A41C3" w:rsidP="009A41C3">
            <w:pPr>
              <w:spacing w:after="0"/>
              <w:ind w:left="360"/>
              <w:jc w:val="both"/>
              <w:rPr>
                <w:rFonts w:ascii="Arial" w:hAnsi="Arial" w:cs="Arial"/>
                <w:sz w:val="20"/>
                <w:szCs w:val="20"/>
              </w:rPr>
            </w:pPr>
          </w:p>
        </w:tc>
        <w:tc>
          <w:tcPr>
            <w:tcW w:w="375" w:type="dxa"/>
            <w:tcBorders>
              <w:top w:val="nil"/>
            </w:tcBorders>
          </w:tcPr>
          <w:p w:rsidR="009A41C3" w:rsidRPr="009A41C3" w:rsidRDefault="009A41C3" w:rsidP="009A41C3">
            <w:pPr>
              <w:spacing w:after="0"/>
              <w:ind w:left="360"/>
              <w:jc w:val="both"/>
              <w:rPr>
                <w:rFonts w:ascii="Arial" w:hAnsi="Arial" w:cs="Arial"/>
                <w:sz w:val="20"/>
                <w:szCs w:val="20"/>
              </w:rPr>
            </w:pPr>
          </w:p>
          <w:p w:rsidR="009A41C3" w:rsidRPr="009A41C3" w:rsidRDefault="009A41C3" w:rsidP="009A41C3">
            <w:pPr>
              <w:spacing w:after="0"/>
              <w:jc w:val="both"/>
              <w:rPr>
                <w:rFonts w:ascii="Arial" w:eastAsia="Times New Roman" w:hAnsi="Arial" w:cs="Arial"/>
                <w:color w:val="000000"/>
                <w:sz w:val="20"/>
                <w:szCs w:val="20"/>
                <w:lang w:val="en-US" w:eastAsia="de-DE"/>
              </w:rPr>
            </w:pPr>
          </w:p>
          <w:p w:rsidR="009A41C3" w:rsidRPr="009A41C3" w:rsidRDefault="009A41C3" w:rsidP="009A41C3">
            <w:pPr>
              <w:spacing w:after="0"/>
              <w:ind w:left="360"/>
              <w:jc w:val="both"/>
              <w:rPr>
                <w:rFonts w:ascii="Arial" w:hAnsi="Arial" w:cs="Arial"/>
                <w:sz w:val="20"/>
                <w:szCs w:val="20"/>
              </w:rPr>
            </w:pPr>
            <w:r w:rsidRPr="009A41C3">
              <w:rPr>
                <w:rFonts w:ascii="Arial" w:hAnsi="Arial" w:cs="Arial"/>
                <w:sz w:val="20"/>
                <w:szCs w:val="20"/>
              </w:rPr>
              <w:t>3</w:t>
            </w:r>
          </w:p>
        </w:tc>
        <w:tc>
          <w:tcPr>
            <w:tcW w:w="500" w:type="dxa"/>
            <w:tcBorders>
              <w:top w:val="nil"/>
            </w:tcBorders>
          </w:tcPr>
          <w:p w:rsidR="009A41C3" w:rsidRPr="009A41C3" w:rsidRDefault="009A41C3" w:rsidP="009A41C3">
            <w:pPr>
              <w:spacing w:after="0"/>
              <w:ind w:left="360"/>
              <w:jc w:val="both"/>
              <w:rPr>
                <w:rFonts w:ascii="Arial" w:hAnsi="Arial" w:cs="Arial"/>
                <w:sz w:val="20"/>
                <w:szCs w:val="20"/>
              </w:rPr>
            </w:pPr>
          </w:p>
          <w:p w:rsidR="009A41C3" w:rsidRPr="009A41C3" w:rsidRDefault="009A41C3" w:rsidP="009A41C3">
            <w:pPr>
              <w:spacing w:after="0"/>
              <w:jc w:val="both"/>
              <w:rPr>
                <w:rFonts w:ascii="Arial" w:eastAsia="Times New Roman" w:hAnsi="Arial" w:cs="Arial"/>
                <w:color w:val="000000"/>
                <w:sz w:val="20"/>
                <w:szCs w:val="20"/>
                <w:lang w:val="en-US" w:eastAsia="de-DE"/>
              </w:rPr>
            </w:pPr>
          </w:p>
          <w:p w:rsidR="009A41C3" w:rsidRPr="009A41C3" w:rsidRDefault="009A41C3" w:rsidP="009A41C3">
            <w:pPr>
              <w:spacing w:after="0"/>
              <w:ind w:left="360"/>
              <w:jc w:val="both"/>
              <w:rPr>
                <w:rFonts w:ascii="Arial" w:hAnsi="Arial" w:cs="Arial"/>
                <w:sz w:val="20"/>
                <w:szCs w:val="20"/>
              </w:rPr>
            </w:pPr>
            <w:r w:rsidRPr="009A41C3">
              <w:rPr>
                <w:rFonts w:ascii="Arial" w:hAnsi="Arial" w:cs="Arial"/>
                <w:sz w:val="20"/>
                <w:szCs w:val="20"/>
              </w:rPr>
              <w:t>20</w:t>
            </w:r>
          </w:p>
        </w:tc>
        <w:tc>
          <w:tcPr>
            <w:tcW w:w="1091" w:type="dxa"/>
            <w:tcBorders>
              <w:top w:val="nil"/>
            </w:tcBorders>
          </w:tcPr>
          <w:p w:rsidR="009A41C3" w:rsidRPr="009A41C3" w:rsidRDefault="009A41C3" w:rsidP="009A41C3">
            <w:pPr>
              <w:spacing w:after="0"/>
              <w:ind w:left="360"/>
              <w:jc w:val="both"/>
              <w:rPr>
                <w:rFonts w:ascii="Arial" w:hAnsi="Arial" w:cs="Arial"/>
                <w:sz w:val="20"/>
                <w:szCs w:val="20"/>
              </w:rPr>
            </w:pPr>
          </w:p>
        </w:tc>
        <w:tc>
          <w:tcPr>
            <w:tcW w:w="1091" w:type="dxa"/>
            <w:tcBorders>
              <w:top w:val="nil"/>
            </w:tcBorders>
          </w:tcPr>
          <w:p w:rsidR="009A41C3" w:rsidRPr="009A41C3" w:rsidRDefault="009A41C3" w:rsidP="009A41C3">
            <w:pPr>
              <w:spacing w:after="0"/>
              <w:ind w:left="360"/>
              <w:jc w:val="both"/>
              <w:rPr>
                <w:rFonts w:ascii="Arial" w:hAnsi="Arial" w:cs="Arial"/>
                <w:sz w:val="20"/>
                <w:szCs w:val="20"/>
              </w:rPr>
            </w:pPr>
          </w:p>
          <w:p w:rsidR="009A41C3" w:rsidRPr="009A41C3" w:rsidRDefault="009A41C3" w:rsidP="009A41C3">
            <w:pPr>
              <w:spacing w:after="0"/>
              <w:jc w:val="both"/>
              <w:rPr>
                <w:rFonts w:ascii="Arial" w:eastAsia="Times New Roman" w:hAnsi="Arial" w:cs="Arial"/>
                <w:color w:val="000000"/>
                <w:sz w:val="20"/>
                <w:szCs w:val="20"/>
                <w:lang w:val="en-US" w:eastAsia="de-DE"/>
              </w:rPr>
            </w:pPr>
          </w:p>
          <w:p w:rsidR="009A41C3" w:rsidRPr="009A41C3" w:rsidRDefault="009A41C3" w:rsidP="009A41C3">
            <w:pPr>
              <w:spacing w:after="0"/>
              <w:ind w:left="360"/>
              <w:jc w:val="both"/>
              <w:rPr>
                <w:rFonts w:ascii="Arial" w:hAnsi="Arial" w:cs="Arial"/>
                <w:sz w:val="20"/>
                <w:szCs w:val="20"/>
              </w:rPr>
            </w:pPr>
            <w:r w:rsidRPr="009A41C3">
              <w:rPr>
                <w:rFonts w:ascii="Arial" w:hAnsi="Arial" w:cs="Arial"/>
                <w:sz w:val="20"/>
                <w:szCs w:val="20"/>
              </w:rPr>
              <w:t>0.33</w:t>
            </w:r>
          </w:p>
        </w:tc>
        <w:tc>
          <w:tcPr>
            <w:tcW w:w="1167" w:type="dxa"/>
            <w:tcBorders>
              <w:top w:val="nil"/>
            </w:tcBorders>
          </w:tcPr>
          <w:p w:rsidR="009A41C3" w:rsidRPr="009A41C3" w:rsidRDefault="009A41C3" w:rsidP="009A41C3">
            <w:pPr>
              <w:spacing w:after="0"/>
              <w:ind w:left="360"/>
              <w:jc w:val="both"/>
              <w:rPr>
                <w:rFonts w:ascii="Arial" w:hAnsi="Arial" w:cs="Arial"/>
                <w:sz w:val="20"/>
                <w:szCs w:val="20"/>
              </w:rPr>
            </w:pPr>
          </w:p>
        </w:tc>
      </w:tr>
      <w:tr w:rsidR="009A41C3" w:rsidRPr="009A41C3" w:rsidTr="00A73711">
        <w:trPr>
          <w:trHeight w:val="149"/>
        </w:trPr>
        <w:tc>
          <w:tcPr>
            <w:tcW w:w="1357" w:type="dxa"/>
            <w:vMerge/>
            <w:tcBorders>
              <w:top w:val="nil"/>
            </w:tcBorders>
          </w:tcPr>
          <w:p w:rsidR="009A41C3" w:rsidRPr="009A41C3" w:rsidRDefault="009A41C3" w:rsidP="009A41C3">
            <w:pPr>
              <w:spacing w:after="0"/>
              <w:ind w:left="360"/>
              <w:jc w:val="both"/>
              <w:rPr>
                <w:rFonts w:ascii="Arial" w:hAnsi="Arial" w:cs="Arial"/>
                <w:sz w:val="20"/>
                <w:szCs w:val="20"/>
              </w:rPr>
            </w:pPr>
          </w:p>
        </w:tc>
        <w:tc>
          <w:tcPr>
            <w:tcW w:w="1481" w:type="dxa"/>
            <w:tcBorders>
              <w:top w:val="nil"/>
            </w:tcBorders>
          </w:tcPr>
          <w:p w:rsidR="009A41C3" w:rsidRPr="009A41C3" w:rsidRDefault="009A41C3" w:rsidP="009A41C3">
            <w:pPr>
              <w:spacing w:after="0"/>
              <w:ind w:left="360"/>
              <w:jc w:val="both"/>
              <w:rPr>
                <w:rFonts w:ascii="Arial" w:hAnsi="Arial" w:cs="Arial"/>
                <w:sz w:val="20"/>
                <w:szCs w:val="20"/>
              </w:rPr>
            </w:pPr>
          </w:p>
          <w:p w:rsidR="009A41C3" w:rsidRPr="009A41C3" w:rsidRDefault="009A41C3" w:rsidP="009A41C3">
            <w:pPr>
              <w:spacing w:after="0"/>
              <w:ind w:left="360"/>
              <w:jc w:val="both"/>
              <w:rPr>
                <w:rFonts w:ascii="Arial" w:hAnsi="Arial" w:cs="Arial"/>
                <w:sz w:val="20"/>
                <w:szCs w:val="20"/>
              </w:rPr>
            </w:pPr>
            <w:r w:rsidRPr="009A41C3">
              <w:rPr>
                <w:rFonts w:ascii="Arial" w:hAnsi="Arial" w:cs="Arial"/>
                <w:sz w:val="20"/>
                <w:szCs w:val="20"/>
              </w:rPr>
              <w:t>18-24</w:t>
            </w:r>
          </w:p>
        </w:tc>
        <w:tc>
          <w:tcPr>
            <w:tcW w:w="509" w:type="dxa"/>
            <w:tcBorders>
              <w:top w:val="nil"/>
            </w:tcBorders>
          </w:tcPr>
          <w:p w:rsidR="009A41C3" w:rsidRPr="009A41C3" w:rsidRDefault="009A41C3" w:rsidP="009A41C3">
            <w:pPr>
              <w:spacing w:after="0"/>
              <w:ind w:left="360"/>
              <w:jc w:val="both"/>
              <w:rPr>
                <w:rFonts w:ascii="Arial" w:hAnsi="Arial" w:cs="Arial"/>
                <w:sz w:val="20"/>
                <w:szCs w:val="20"/>
              </w:rPr>
            </w:pPr>
          </w:p>
          <w:p w:rsidR="009A41C3" w:rsidRPr="009A41C3" w:rsidRDefault="009A41C3" w:rsidP="009A41C3">
            <w:pPr>
              <w:spacing w:after="0"/>
              <w:ind w:left="360"/>
              <w:jc w:val="both"/>
              <w:rPr>
                <w:rFonts w:ascii="Arial" w:hAnsi="Arial" w:cs="Arial"/>
                <w:sz w:val="20"/>
                <w:szCs w:val="20"/>
              </w:rPr>
            </w:pPr>
            <w:r w:rsidRPr="009A41C3">
              <w:rPr>
                <w:rFonts w:ascii="Arial" w:hAnsi="Arial" w:cs="Arial"/>
                <w:sz w:val="20"/>
                <w:szCs w:val="20"/>
              </w:rPr>
              <w:t>9</w:t>
            </w:r>
          </w:p>
        </w:tc>
        <w:tc>
          <w:tcPr>
            <w:tcW w:w="474" w:type="dxa"/>
            <w:tcBorders>
              <w:top w:val="nil"/>
            </w:tcBorders>
          </w:tcPr>
          <w:p w:rsidR="009A41C3" w:rsidRPr="009A41C3" w:rsidRDefault="009A41C3" w:rsidP="009A41C3">
            <w:pPr>
              <w:spacing w:after="0"/>
              <w:ind w:left="360"/>
              <w:jc w:val="both"/>
              <w:rPr>
                <w:rFonts w:ascii="Arial" w:hAnsi="Arial" w:cs="Arial"/>
                <w:sz w:val="20"/>
                <w:szCs w:val="20"/>
              </w:rPr>
            </w:pPr>
          </w:p>
          <w:p w:rsidR="009A41C3" w:rsidRPr="009A41C3" w:rsidRDefault="009A41C3" w:rsidP="009A41C3">
            <w:pPr>
              <w:spacing w:after="0"/>
              <w:ind w:left="360"/>
              <w:jc w:val="both"/>
              <w:rPr>
                <w:rFonts w:ascii="Arial" w:hAnsi="Arial" w:cs="Arial"/>
                <w:sz w:val="20"/>
                <w:szCs w:val="20"/>
              </w:rPr>
            </w:pPr>
            <w:r w:rsidRPr="009A41C3">
              <w:rPr>
                <w:rFonts w:ascii="Arial" w:hAnsi="Arial" w:cs="Arial"/>
                <w:sz w:val="20"/>
                <w:szCs w:val="20"/>
              </w:rPr>
              <w:t>39</w:t>
            </w:r>
          </w:p>
        </w:tc>
        <w:tc>
          <w:tcPr>
            <w:tcW w:w="510" w:type="dxa"/>
            <w:tcBorders>
              <w:top w:val="nil"/>
            </w:tcBorders>
          </w:tcPr>
          <w:p w:rsidR="009A41C3" w:rsidRPr="009A41C3" w:rsidRDefault="009A41C3" w:rsidP="009A41C3">
            <w:pPr>
              <w:spacing w:after="0"/>
              <w:ind w:left="360"/>
              <w:jc w:val="both"/>
              <w:rPr>
                <w:rFonts w:ascii="Arial" w:hAnsi="Arial" w:cs="Arial"/>
                <w:sz w:val="20"/>
                <w:szCs w:val="20"/>
              </w:rPr>
            </w:pPr>
          </w:p>
        </w:tc>
        <w:tc>
          <w:tcPr>
            <w:tcW w:w="505" w:type="dxa"/>
            <w:tcBorders>
              <w:top w:val="nil"/>
            </w:tcBorders>
          </w:tcPr>
          <w:p w:rsidR="009A41C3" w:rsidRPr="009A41C3" w:rsidRDefault="009A41C3" w:rsidP="009A41C3">
            <w:pPr>
              <w:spacing w:after="0"/>
              <w:ind w:left="360"/>
              <w:jc w:val="both"/>
              <w:rPr>
                <w:rFonts w:ascii="Arial" w:hAnsi="Arial" w:cs="Arial"/>
                <w:sz w:val="20"/>
                <w:szCs w:val="20"/>
              </w:rPr>
            </w:pPr>
          </w:p>
        </w:tc>
        <w:tc>
          <w:tcPr>
            <w:tcW w:w="375" w:type="dxa"/>
            <w:tcBorders>
              <w:top w:val="nil"/>
            </w:tcBorders>
          </w:tcPr>
          <w:p w:rsidR="009A41C3" w:rsidRPr="009A41C3" w:rsidRDefault="009A41C3" w:rsidP="009A41C3">
            <w:pPr>
              <w:spacing w:after="0"/>
              <w:ind w:left="360"/>
              <w:jc w:val="both"/>
              <w:rPr>
                <w:rFonts w:ascii="Arial" w:hAnsi="Arial" w:cs="Arial"/>
                <w:sz w:val="20"/>
                <w:szCs w:val="20"/>
              </w:rPr>
            </w:pPr>
          </w:p>
          <w:p w:rsidR="009A41C3" w:rsidRPr="009A41C3" w:rsidRDefault="009A41C3" w:rsidP="009A41C3">
            <w:pPr>
              <w:spacing w:after="0"/>
              <w:ind w:left="360"/>
              <w:jc w:val="both"/>
              <w:rPr>
                <w:rFonts w:ascii="Arial" w:hAnsi="Arial" w:cs="Arial"/>
                <w:sz w:val="20"/>
                <w:szCs w:val="20"/>
              </w:rPr>
            </w:pPr>
            <w:r w:rsidRPr="009A41C3">
              <w:rPr>
                <w:rFonts w:ascii="Arial" w:hAnsi="Arial" w:cs="Arial"/>
                <w:sz w:val="20"/>
                <w:szCs w:val="20"/>
              </w:rPr>
              <w:t>2</w:t>
            </w:r>
          </w:p>
        </w:tc>
        <w:tc>
          <w:tcPr>
            <w:tcW w:w="500" w:type="dxa"/>
            <w:tcBorders>
              <w:top w:val="nil"/>
            </w:tcBorders>
          </w:tcPr>
          <w:p w:rsidR="009A41C3" w:rsidRPr="009A41C3" w:rsidRDefault="009A41C3" w:rsidP="009A41C3">
            <w:pPr>
              <w:spacing w:after="0"/>
              <w:ind w:left="360"/>
              <w:jc w:val="both"/>
              <w:rPr>
                <w:rFonts w:ascii="Arial" w:hAnsi="Arial" w:cs="Arial"/>
                <w:sz w:val="20"/>
                <w:szCs w:val="20"/>
              </w:rPr>
            </w:pPr>
          </w:p>
          <w:p w:rsidR="009A41C3" w:rsidRPr="009A41C3" w:rsidRDefault="009A41C3" w:rsidP="009A41C3">
            <w:pPr>
              <w:spacing w:after="0"/>
              <w:ind w:left="360"/>
              <w:jc w:val="both"/>
              <w:rPr>
                <w:rFonts w:ascii="Arial" w:hAnsi="Arial" w:cs="Arial"/>
                <w:sz w:val="20"/>
                <w:szCs w:val="20"/>
              </w:rPr>
            </w:pPr>
            <w:r w:rsidRPr="009A41C3">
              <w:rPr>
                <w:rFonts w:ascii="Arial" w:hAnsi="Arial" w:cs="Arial"/>
                <w:sz w:val="20"/>
                <w:szCs w:val="20"/>
              </w:rPr>
              <w:t>13</w:t>
            </w:r>
          </w:p>
        </w:tc>
        <w:tc>
          <w:tcPr>
            <w:tcW w:w="1091" w:type="dxa"/>
            <w:tcBorders>
              <w:top w:val="nil"/>
            </w:tcBorders>
          </w:tcPr>
          <w:p w:rsidR="009A41C3" w:rsidRPr="009A41C3" w:rsidRDefault="009A41C3" w:rsidP="009A41C3">
            <w:pPr>
              <w:spacing w:after="0"/>
              <w:ind w:left="360"/>
              <w:jc w:val="both"/>
              <w:rPr>
                <w:rFonts w:ascii="Arial" w:hAnsi="Arial" w:cs="Arial"/>
                <w:sz w:val="20"/>
                <w:szCs w:val="20"/>
              </w:rPr>
            </w:pPr>
          </w:p>
        </w:tc>
        <w:tc>
          <w:tcPr>
            <w:tcW w:w="1091" w:type="dxa"/>
            <w:tcBorders>
              <w:top w:val="nil"/>
            </w:tcBorders>
          </w:tcPr>
          <w:p w:rsidR="009A41C3" w:rsidRPr="009A41C3" w:rsidRDefault="009A41C3" w:rsidP="009A41C3">
            <w:pPr>
              <w:spacing w:after="0"/>
              <w:ind w:left="360"/>
              <w:jc w:val="both"/>
              <w:rPr>
                <w:rFonts w:ascii="Arial" w:hAnsi="Arial" w:cs="Arial"/>
                <w:sz w:val="20"/>
                <w:szCs w:val="20"/>
              </w:rPr>
            </w:pPr>
          </w:p>
          <w:p w:rsidR="009A41C3" w:rsidRPr="009A41C3" w:rsidRDefault="009A41C3" w:rsidP="009A41C3">
            <w:pPr>
              <w:spacing w:after="0"/>
              <w:ind w:left="360"/>
              <w:jc w:val="both"/>
              <w:rPr>
                <w:rFonts w:ascii="Arial" w:hAnsi="Arial" w:cs="Arial"/>
                <w:sz w:val="20"/>
                <w:szCs w:val="20"/>
              </w:rPr>
            </w:pPr>
            <w:r w:rsidRPr="009A41C3">
              <w:rPr>
                <w:rFonts w:ascii="Arial" w:hAnsi="Arial" w:cs="Arial"/>
                <w:sz w:val="20"/>
                <w:szCs w:val="20"/>
              </w:rPr>
              <w:t>0.04*</w:t>
            </w:r>
          </w:p>
        </w:tc>
        <w:tc>
          <w:tcPr>
            <w:tcW w:w="1167" w:type="dxa"/>
            <w:tcBorders>
              <w:top w:val="nil"/>
            </w:tcBorders>
          </w:tcPr>
          <w:p w:rsidR="009A41C3" w:rsidRPr="009A41C3" w:rsidRDefault="009A41C3" w:rsidP="009A41C3">
            <w:pPr>
              <w:spacing w:after="0"/>
              <w:ind w:left="360"/>
              <w:jc w:val="both"/>
              <w:rPr>
                <w:rFonts w:ascii="Arial" w:hAnsi="Arial" w:cs="Arial"/>
                <w:sz w:val="20"/>
                <w:szCs w:val="20"/>
              </w:rPr>
            </w:pPr>
          </w:p>
        </w:tc>
      </w:tr>
      <w:tr w:rsidR="009A41C3" w:rsidRPr="009A41C3" w:rsidTr="00A73711">
        <w:trPr>
          <w:trHeight w:val="1702"/>
        </w:trPr>
        <w:tc>
          <w:tcPr>
            <w:tcW w:w="1357" w:type="dxa"/>
            <w:vMerge/>
            <w:tcBorders>
              <w:top w:val="nil"/>
              <w:bottom w:val="single" w:sz="4" w:space="0" w:color="000000"/>
            </w:tcBorders>
          </w:tcPr>
          <w:p w:rsidR="009A41C3" w:rsidRPr="009A41C3" w:rsidRDefault="009A41C3" w:rsidP="009A41C3">
            <w:pPr>
              <w:spacing w:after="0"/>
              <w:ind w:left="360"/>
              <w:jc w:val="both"/>
              <w:rPr>
                <w:rFonts w:ascii="Arial" w:hAnsi="Arial" w:cs="Arial"/>
                <w:sz w:val="20"/>
                <w:szCs w:val="20"/>
              </w:rPr>
            </w:pPr>
          </w:p>
        </w:tc>
        <w:tc>
          <w:tcPr>
            <w:tcW w:w="1481" w:type="dxa"/>
            <w:tcBorders>
              <w:top w:val="nil"/>
              <w:bottom w:val="single" w:sz="4" w:space="0" w:color="000000"/>
            </w:tcBorders>
          </w:tcPr>
          <w:p w:rsidR="009A41C3" w:rsidRPr="009A41C3" w:rsidRDefault="009A41C3" w:rsidP="009A41C3">
            <w:pPr>
              <w:spacing w:after="0"/>
              <w:ind w:left="360"/>
              <w:jc w:val="both"/>
              <w:rPr>
                <w:rFonts w:ascii="Arial" w:hAnsi="Arial" w:cs="Arial"/>
                <w:sz w:val="20"/>
                <w:szCs w:val="20"/>
              </w:rPr>
            </w:pPr>
          </w:p>
          <w:p w:rsidR="009A41C3" w:rsidRPr="009A41C3" w:rsidRDefault="009A41C3" w:rsidP="009A41C3">
            <w:pPr>
              <w:spacing w:after="0"/>
              <w:jc w:val="both"/>
              <w:rPr>
                <w:rFonts w:ascii="Arial" w:eastAsia="Times New Roman" w:hAnsi="Arial" w:cs="Arial"/>
                <w:color w:val="000000"/>
                <w:sz w:val="20"/>
                <w:szCs w:val="20"/>
                <w:lang w:val="en-US" w:eastAsia="de-DE"/>
              </w:rPr>
            </w:pPr>
          </w:p>
          <w:p w:rsidR="009A41C3" w:rsidRPr="009A41C3" w:rsidRDefault="009A41C3" w:rsidP="009A41C3">
            <w:pPr>
              <w:spacing w:after="0"/>
              <w:ind w:left="360"/>
              <w:jc w:val="both"/>
              <w:rPr>
                <w:rFonts w:ascii="Arial" w:hAnsi="Arial" w:cs="Arial"/>
                <w:sz w:val="20"/>
                <w:szCs w:val="20"/>
              </w:rPr>
            </w:pPr>
            <w:r w:rsidRPr="009A41C3">
              <w:rPr>
                <w:rFonts w:ascii="Arial" w:hAnsi="Arial" w:cs="Arial"/>
                <w:sz w:val="20"/>
                <w:szCs w:val="20"/>
              </w:rPr>
              <w:t>25-40</w:t>
            </w:r>
          </w:p>
          <w:p w:rsidR="009A41C3" w:rsidRPr="009A41C3" w:rsidRDefault="009A41C3" w:rsidP="009A41C3">
            <w:pPr>
              <w:spacing w:after="0"/>
              <w:jc w:val="both"/>
              <w:rPr>
                <w:rFonts w:ascii="Arial" w:eastAsia="Times New Roman" w:hAnsi="Arial" w:cs="Arial"/>
                <w:color w:val="000000"/>
                <w:sz w:val="20"/>
                <w:szCs w:val="20"/>
                <w:lang w:val="en-US" w:eastAsia="de-DE"/>
              </w:rPr>
            </w:pPr>
          </w:p>
          <w:p w:rsidR="009A41C3" w:rsidRPr="009A41C3" w:rsidRDefault="009A41C3" w:rsidP="009A41C3">
            <w:pPr>
              <w:spacing w:after="0"/>
              <w:jc w:val="both"/>
              <w:rPr>
                <w:rFonts w:ascii="Arial" w:eastAsia="Times New Roman" w:hAnsi="Arial" w:cs="Arial"/>
                <w:color w:val="000000"/>
                <w:sz w:val="20"/>
                <w:szCs w:val="20"/>
                <w:lang w:val="en-US" w:eastAsia="de-DE"/>
              </w:rPr>
            </w:pPr>
          </w:p>
          <w:p w:rsidR="009A41C3" w:rsidRPr="009A41C3" w:rsidRDefault="009A41C3" w:rsidP="009A41C3">
            <w:pPr>
              <w:spacing w:after="0"/>
              <w:ind w:left="360"/>
              <w:jc w:val="both"/>
              <w:rPr>
                <w:rFonts w:ascii="Arial" w:hAnsi="Arial" w:cs="Arial"/>
                <w:sz w:val="20"/>
                <w:szCs w:val="20"/>
              </w:rPr>
            </w:pPr>
            <w:r w:rsidRPr="009A41C3">
              <w:rPr>
                <w:rFonts w:ascii="Arial" w:hAnsi="Arial" w:cs="Arial"/>
                <w:sz w:val="20"/>
                <w:szCs w:val="20"/>
              </w:rPr>
              <w:t>41-61</w:t>
            </w:r>
          </w:p>
          <w:p w:rsidR="009A41C3" w:rsidRPr="009A41C3" w:rsidRDefault="009A41C3" w:rsidP="009A41C3">
            <w:pPr>
              <w:spacing w:after="0"/>
              <w:jc w:val="both"/>
              <w:rPr>
                <w:rFonts w:ascii="Arial" w:eastAsia="Times New Roman" w:hAnsi="Arial" w:cs="Arial"/>
                <w:color w:val="000000"/>
                <w:sz w:val="20"/>
                <w:szCs w:val="20"/>
                <w:lang w:val="en-US" w:eastAsia="de-DE"/>
              </w:rPr>
            </w:pPr>
          </w:p>
        </w:tc>
        <w:tc>
          <w:tcPr>
            <w:tcW w:w="509" w:type="dxa"/>
            <w:tcBorders>
              <w:top w:val="nil"/>
              <w:bottom w:val="single" w:sz="4" w:space="0" w:color="000000"/>
            </w:tcBorders>
          </w:tcPr>
          <w:p w:rsidR="009A41C3" w:rsidRPr="009A41C3" w:rsidRDefault="009A41C3" w:rsidP="009A41C3">
            <w:pPr>
              <w:spacing w:after="0"/>
              <w:ind w:left="360"/>
              <w:jc w:val="both"/>
              <w:rPr>
                <w:rFonts w:ascii="Arial" w:hAnsi="Arial" w:cs="Arial"/>
                <w:sz w:val="20"/>
                <w:szCs w:val="20"/>
              </w:rPr>
            </w:pPr>
          </w:p>
          <w:p w:rsidR="009A41C3" w:rsidRPr="009A41C3" w:rsidRDefault="009A41C3" w:rsidP="009A41C3">
            <w:pPr>
              <w:spacing w:after="0"/>
              <w:jc w:val="both"/>
              <w:rPr>
                <w:rFonts w:ascii="Arial" w:eastAsia="Times New Roman" w:hAnsi="Arial" w:cs="Arial"/>
                <w:color w:val="000000"/>
                <w:sz w:val="20"/>
                <w:szCs w:val="20"/>
                <w:lang w:val="en-US" w:eastAsia="de-DE"/>
              </w:rPr>
            </w:pPr>
          </w:p>
          <w:p w:rsidR="009A41C3" w:rsidRPr="009A41C3" w:rsidRDefault="009A41C3" w:rsidP="009A41C3">
            <w:pPr>
              <w:spacing w:after="0"/>
              <w:ind w:left="360"/>
              <w:jc w:val="both"/>
              <w:rPr>
                <w:rFonts w:ascii="Arial" w:hAnsi="Arial" w:cs="Arial"/>
                <w:sz w:val="20"/>
                <w:szCs w:val="20"/>
              </w:rPr>
            </w:pPr>
            <w:r w:rsidRPr="009A41C3">
              <w:rPr>
                <w:rFonts w:ascii="Arial" w:hAnsi="Arial" w:cs="Arial"/>
                <w:sz w:val="20"/>
                <w:szCs w:val="20"/>
              </w:rPr>
              <w:t>5</w:t>
            </w:r>
          </w:p>
          <w:p w:rsidR="009A41C3" w:rsidRPr="009A41C3" w:rsidRDefault="009A41C3" w:rsidP="009A41C3">
            <w:pPr>
              <w:spacing w:after="0"/>
              <w:jc w:val="both"/>
              <w:rPr>
                <w:rFonts w:ascii="Arial" w:eastAsia="Times New Roman" w:hAnsi="Arial" w:cs="Arial"/>
                <w:color w:val="000000"/>
                <w:sz w:val="20"/>
                <w:szCs w:val="20"/>
                <w:lang w:val="en-US" w:eastAsia="de-DE"/>
              </w:rPr>
            </w:pPr>
          </w:p>
          <w:p w:rsidR="009A41C3" w:rsidRPr="009A41C3" w:rsidRDefault="009A41C3" w:rsidP="009A41C3">
            <w:pPr>
              <w:spacing w:after="0"/>
              <w:jc w:val="both"/>
              <w:rPr>
                <w:rFonts w:ascii="Arial" w:eastAsia="Times New Roman" w:hAnsi="Arial" w:cs="Arial"/>
                <w:color w:val="000000"/>
                <w:sz w:val="20"/>
                <w:szCs w:val="20"/>
                <w:lang w:val="en-US" w:eastAsia="de-DE"/>
              </w:rPr>
            </w:pPr>
          </w:p>
          <w:p w:rsidR="009A41C3" w:rsidRPr="009A41C3" w:rsidRDefault="009A41C3" w:rsidP="009A41C3">
            <w:pPr>
              <w:spacing w:after="0"/>
              <w:ind w:left="360"/>
              <w:jc w:val="both"/>
              <w:rPr>
                <w:rFonts w:ascii="Arial" w:hAnsi="Arial" w:cs="Arial"/>
                <w:sz w:val="20"/>
                <w:szCs w:val="20"/>
              </w:rPr>
            </w:pPr>
            <w:r w:rsidRPr="009A41C3">
              <w:rPr>
                <w:rFonts w:ascii="Arial" w:hAnsi="Arial" w:cs="Arial"/>
                <w:sz w:val="20"/>
                <w:szCs w:val="20"/>
              </w:rPr>
              <w:t>3</w:t>
            </w:r>
          </w:p>
          <w:p w:rsidR="009A41C3" w:rsidRPr="009A41C3" w:rsidRDefault="009A41C3" w:rsidP="009A41C3">
            <w:pPr>
              <w:spacing w:after="0"/>
              <w:jc w:val="both"/>
              <w:rPr>
                <w:rFonts w:ascii="Arial" w:eastAsia="Times New Roman" w:hAnsi="Arial" w:cs="Arial"/>
                <w:color w:val="000000"/>
                <w:sz w:val="20"/>
                <w:szCs w:val="20"/>
                <w:lang w:val="en-US" w:eastAsia="de-DE"/>
              </w:rPr>
            </w:pPr>
          </w:p>
          <w:p w:rsidR="009A41C3" w:rsidRPr="009A41C3" w:rsidRDefault="009A41C3" w:rsidP="009A41C3">
            <w:pPr>
              <w:spacing w:after="0"/>
              <w:jc w:val="both"/>
              <w:rPr>
                <w:rFonts w:ascii="Arial" w:eastAsia="Times New Roman" w:hAnsi="Arial" w:cs="Arial"/>
                <w:color w:val="000000"/>
                <w:sz w:val="20"/>
                <w:szCs w:val="20"/>
                <w:lang w:val="en-US" w:eastAsia="de-DE"/>
              </w:rPr>
            </w:pPr>
          </w:p>
        </w:tc>
        <w:tc>
          <w:tcPr>
            <w:tcW w:w="474" w:type="dxa"/>
            <w:tcBorders>
              <w:top w:val="nil"/>
              <w:bottom w:val="single" w:sz="4" w:space="0" w:color="000000"/>
            </w:tcBorders>
          </w:tcPr>
          <w:p w:rsidR="009A41C3" w:rsidRPr="009A41C3" w:rsidRDefault="009A41C3" w:rsidP="009A41C3">
            <w:pPr>
              <w:spacing w:after="0"/>
              <w:ind w:left="360"/>
              <w:jc w:val="both"/>
              <w:rPr>
                <w:rFonts w:ascii="Arial" w:hAnsi="Arial" w:cs="Arial"/>
                <w:sz w:val="20"/>
                <w:szCs w:val="20"/>
              </w:rPr>
            </w:pPr>
          </w:p>
          <w:p w:rsidR="009A41C3" w:rsidRPr="009A41C3" w:rsidRDefault="009A41C3" w:rsidP="009A41C3">
            <w:pPr>
              <w:spacing w:after="0"/>
              <w:jc w:val="both"/>
              <w:rPr>
                <w:rFonts w:ascii="Arial" w:eastAsia="Times New Roman" w:hAnsi="Arial" w:cs="Arial"/>
                <w:color w:val="000000"/>
                <w:sz w:val="20"/>
                <w:szCs w:val="20"/>
                <w:lang w:val="en-US" w:eastAsia="de-DE"/>
              </w:rPr>
            </w:pPr>
          </w:p>
          <w:p w:rsidR="009A41C3" w:rsidRPr="009A41C3" w:rsidRDefault="009A41C3" w:rsidP="009A41C3">
            <w:pPr>
              <w:spacing w:after="0"/>
              <w:ind w:left="360"/>
              <w:jc w:val="both"/>
              <w:rPr>
                <w:rFonts w:ascii="Arial" w:hAnsi="Arial" w:cs="Arial"/>
                <w:sz w:val="20"/>
                <w:szCs w:val="20"/>
              </w:rPr>
            </w:pPr>
            <w:r w:rsidRPr="009A41C3">
              <w:rPr>
                <w:rFonts w:ascii="Arial" w:hAnsi="Arial" w:cs="Arial"/>
                <w:sz w:val="20"/>
                <w:szCs w:val="20"/>
              </w:rPr>
              <w:t>22</w:t>
            </w:r>
          </w:p>
          <w:p w:rsidR="009A41C3" w:rsidRPr="009A41C3" w:rsidRDefault="009A41C3" w:rsidP="009A41C3">
            <w:pPr>
              <w:spacing w:after="0"/>
              <w:jc w:val="both"/>
              <w:rPr>
                <w:rFonts w:ascii="Arial" w:eastAsia="Times New Roman" w:hAnsi="Arial" w:cs="Arial"/>
                <w:color w:val="000000"/>
                <w:sz w:val="20"/>
                <w:szCs w:val="20"/>
                <w:lang w:val="en-US" w:eastAsia="de-DE"/>
              </w:rPr>
            </w:pPr>
          </w:p>
          <w:p w:rsidR="009A41C3" w:rsidRPr="009A41C3" w:rsidRDefault="009A41C3" w:rsidP="009A41C3">
            <w:pPr>
              <w:spacing w:after="0"/>
              <w:jc w:val="both"/>
              <w:rPr>
                <w:rFonts w:ascii="Arial" w:eastAsia="Times New Roman" w:hAnsi="Arial" w:cs="Arial"/>
                <w:color w:val="000000"/>
                <w:sz w:val="20"/>
                <w:szCs w:val="20"/>
                <w:lang w:val="en-US" w:eastAsia="de-DE"/>
              </w:rPr>
            </w:pPr>
          </w:p>
          <w:p w:rsidR="009A41C3" w:rsidRPr="009A41C3" w:rsidRDefault="009A41C3" w:rsidP="009A41C3">
            <w:pPr>
              <w:spacing w:after="0"/>
              <w:ind w:left="360"/>
              <w:jc w:val="both"/>
              <w:rPr>
                <w:rFonts w:ascii="Arial" w:hAnsi="Arial" w:cs="Arial"/>
                <w:sz w:val="20"/>
                <w:szCs w:val="20"/>
              </w:rPr>
            </w:pPr>
            <w:r w:rsidRPr="009A41C3">
              <w:rPr>
                <w:rFonts w:ascii="Arial" w:hAnsi="Arial" w:cs="Arial"/>
                <w:sz w:val="20"/>
                <w:szCs w:val="20"/>
              </w:rPr>
              <w:t>13</w:t>
            </w:r>
          </w:p>
        </w:tc>
        <w:tc>
          <w:tcPr>
            <w:tcW w:w="510" w:type="dxa"/>
            <w:tcBorders>
              <w:top w:val="nil"/>
              <w:bottom w:val="single" w:sz="4" w:space="0" w:color="000000"/>
            </w:tcBorders>
          </w:tcPr>
          <w:p w:rsidR="009A41C3" w:rsidRPr="009A41C3" w:rsidRDefault="009A41C3" w:rsidP="009A41C3">
            <w:pPr>
              <w:spacing w:after="0"/>
              <w:ind w:left="360"/>
              <w:jc w:val="both"/>
              <w:rPr>
                <w:rFonts w:ascii="Arial" w:hAnsi="Arial" w:cs="Arial"/>
                <w:sz w:val="20"/>
                <w:szCs w:val="20"/>
              </w:rPr>
            </w:pPr>
          </w:p>
        </w:tc>
        <w:tc>
          <w:tcPr>
            <w:tcW w:w="505" w:type="dxa"/>
            <w:tcBorders>
              <w:top w:val="nil"/>
              <w:bottom w:val="single" w:sz="4" w:space="0" w:color="000000"/>
            </w:tcBorders>
          </w:tcPr>
          <w:p w:rsidR="009A41C3" w:rsidRPr="009A41C3" w:rsidRDefault="009A41C3" w:rsidP="009A41C3">
            <w:pPr>
              <w:spacing w:after="0"/>
              <w:ind w:left="360"/>
              <w:jc w:val="both"/>
              <w:rPr>
                <w:rFonts w:ascii="Arial" w:hAnsi="Arial" w:cs="Arial"/>
                <w:sz w:val="20"/>
                <w:szCs w:val="20"/>
              </w:rPr>
            </w:pPr>
          </w:p>
        </w:tc>
        <w:tc>
          <w:tcPr>
            <w:tcW w:w="375" w:type="dxa"/>
            <w:tcBorders>
              <w:top w:val="nil"/>
              <w:bottom w:val="single" w:sz="4" w:space="0" w:color="000000"/>
            </w:tcBorders>
          </w:tcPr>
          <w:p w:rsidR="009A41C3" w:rsidRPr="009A41C3" w:rsidRDefault="009A41C3" w:rsidP="009A41C3">
            <w:pPr>
              <w:spacing w:after="0"/>
              <w:ind w:left="360"/>
              <w:jc w:val="both"/>
              <w:rPr>
                <w:rFonts w:ascii="Arial" w:hAnsi="Arial" w:cs="Arial"/>
                <w:sz w:val="20"/>
                <w:szCs w:val="20"/>
              </w:rPr>
            </w:pPr>
          </w:p>
          <w:p w:rsidR="009A41C3" w:rsidRPr="009A41C3" w:rsidRDefault="009A41C3" w:rsidP="009A41C3">
            <w:pPr>
              <w:spacing w:after="0"/>
              <w:jc w:val="both"/>
              <w:rPr>
                <w:rFonts w:ascii="Arial" w:eastAsia="Times New Roman" w:hAnsi="Arial" w:cs="Arial"/>
                <w:color w:val="000000"/>
                <w:sz w:val="20"/>
                <w:szCs w:val="20"/>
                <w:lang w:val="en-US" w:eastAsia="de-DE"/>
              </w:rPr>
            </w:pPr>
          </w:p>
          <w:p w:rsidR="009A41C3" w:rsidRPr="009A41C3" w:rsidRDefault="009A41C3" w:rsidP="009A41C3">
            <w:pPr>
              <w:spacing w:after="0"/>
              <w:ind w:left="360"/>
              <w:jc w:val="both"/>
              <w:rPr>
                <w:rFonts w:ascii="Arial" w:hAnsi="Arial" w:cs="Arial"/>
                <w:sz w:val="20"/>
                <w:szCs w:val="20"/>
              </w:rPr>
            </w:pPr>
            <w:r w:rsidRPr="009A41C3">
              <w:rPr>
                <w:rFonts w:ascii="Arial" w:hAnsi="Arial" w:cs="Arial"/>
                <w:sz w:val="20"/>
                <w:szCs w:val="20"/>
              </w:rPr>
              <w:t>5</w:t>
            </w:r>
          </w:p>
          <w:p w:rsidR="009A41C3" w:rsidRPr="009A41C3" w:rsidRDefault="009A41C3" w:rsidP="009A41C3">
            <w:pPr>
              <w:spacing w:after="0"/>
              <w:jc w:val="both"/>
              <w:rPr>
                <w:rFonts w:ascii="Arial" w:eastAsia="Times New Roman" w:hAnsi="Arial" w:cs="Arial"/>
                <w:color w:val="000000"/>
                <w:sz w:val="20"/>
                <w:szCs w:val="20"/>
                <w:lang w:val="en-US" w:eastAsia="de-DE"/>
              </w:rPr>
            </w:pPr>
          </w:p>
          <w:p w:rsidR="009A41C3" w:rsidRPr="009A41C3" w:rsidRDefault="009A41C3" w:rsidP="009A41C3">
            <w:pPr>
              <w:spacing w:after="0"/>
              <w:jc w:val="both"/>
              <w:rPr>
                <w:rFonts w:ascii="Arial" w:eastAsia="Times New Roman" w:hAnsi="Arial" w:cs="Arial"/>
                <w:color w:val="000000"/>
                <w:sz w:val="20"/>
                <w:szCs w:val="20"/>
                <w:lang w:val="en-US" w:eastAsia="de-DE"/>
              </w:rPr>
            </w:pPr>
          </w:p>
          <w:p w:rsidR="009A41C3" w:rsidRPr="009A41C3" w:rsidRDefault="009A41C3" w:rsidP="009A41C3">
            <w:pPr>
              <w:spacing w:after="0"/>
              <w:ind w:left="360"/>
              <w:jc w:val="both"/>
              <w:rPr>
                <w:rFonts w:ascii="Arial" w:hAnsi="Arial" w:cs="Arial"/>
                <w:sz w:val="20"/>
                <w:szCs w:val="20"/>
              </w:rPr>
            </w:pPr>
            <w:r w:rsidRPr="009A41C3">
              <w:rPr>
                <w:rFonts w:ascii="Arial" w:hAnsi="Arial" w:cs="Arial"/>
                <w:sz w:val="20"/>
                <w:szCs w:val="20"/>
              </w:rPr>
              <w:t>4</w:t>
            </w:r>
          </w:p>
        </w:tc>
        <w:tc>
          <w:tcPr>
            <w:tcW w:w="500" w:type="dxa"/>
            <w:tcBorders>
              <w:top w:val="nil"/>
              <w:bottom w:val="single" w:sz="4" w:space="0" w:color="000000"/>
            </w:tcBorders>
          </w:tcPr>
          <w:p w:rsidR="009A41C3" w:rsidRPr="009A41C3" w:rsidRDefault="009A41C3" w:rsidP="009A41C3">
            <w:pPr>
              <w:spacing w:after="0"/>
              <w:ind w:left="360"/>
              <w:jc w:val="both"/>
              <w:rPr>
                <w:rFonts w:ascii="Arial" w:hAnsi="Arial" w:cs="Arial"/>
                <w:sz w:val="20"/>
                <w:szCs w:val="20"/>
              </w:rPr>
            </w:pPr>
          </w:p>
          <w:p w:rsidR="009A41C3" w:rsidRPr="009A41C3" w:rsidRDefault="009A41C3" w:rsidP="009A41C3">
            <w:pPr>
              <w:spacing w:after="0"/>
              <w:jc w:val="both"/>
              <w:rPr>
                <w:rFonts w:ascii="Arial" w:eastAsia="Times New Roman" w:hAnsi="Arial" w:cs="Arial"/>
                <w:color w:val="000000"/>
                <w:sz w:val="20"/>
                <w:szCs w:val="20"/>
                <w:lang w:val="en-US" w:eastAsia="de-DE"/>
              </w:rPr>
            </w:pPr>
          </w:p>
          <w:p w:rsidR="009A41C3" w:rsidRPr="009A41C3" w:rsidRDefault="009A41C3" w:rsidP="009A41C3">
            <w:pPr>
              <w:spacing w:after="0"/>
              <w:ind w:left="360"/>
              <w:jc w:val="both"/>
              <w:rPr>
                <w:rFonts w:ascii="Arial" w:hAnsi="Arial" w:cs="Arial"/>
                <w:sz w:val="20"/>
                <w:szCs w:val="20"/>
              </w:rPr>
            </w:pPr>
            <w:r w:rsidRPr="009A41C3">
              <w:rPr>
                <w:rFonts w:ascii="Arial" w:hAnsi="Arial" w:cs="Arial"/>
                <w:sz w:val="20"/>
                <w:szCs w:val="20"/>
              </w:rPr>
              <w:t>33</w:t>
            </w:r>
          </w:p>
          <w:p w:rsidR="009A41C3" w:rsidRPr="009A41C3" w:rsidRDefault="009A41C3" w:rsidP="009A41C3">
            <w:pPr>
              <w:spacing w:after="0"/>
              <w:jc w:val="both"/>
              <w:rPr>
                <w:rFonts w:ascii="Arial" w:eastAsia="Times New Roman" w:hAnsi="Arial" w:cs="Arial"/>
                <w:color w:val="000000"/>
                <w:sz w:val="20"/>
                <w:szCs w:val="20"/>
                <w:lang w:val="en-US" w:eastAsia="de-DE"/>
              </w:rPr>
            </w:pPr>
          </w:p>
          <w:p w:rsidR="009A41C3" w:rsidRPr="009A41C3" w:rsidRDefault="009A41C3" w:rsidP="009A41C3">
            <w:pPr>
              <w:spacing w:after="0"/>
              <w:jc w:val="both"/>
              <w:rPr>
                <w:rFonts w:ascii="Arial" w:eastAsia="Times New Roman" w:hAnsi="Arial" w:cs="Arial"/>
                <w:color w:val="000000"/>
                <w:sz w:val="20"/>
                <w:szCs w:val="20"/>
                <w:lang w:val="en-US" w:eastAsia="de-DE"/>
              </w:rPr>
            </w:pPr>
          </w:p>
          <w:p w:rsidR="009A41C3" w:rsidRPr="009A41C3" w:rsidRDefault="009A41C3" w:rsidP="009A41C3">
            <w:pPr>
              <w:spacing w:after="0"/>
              <w:ind w:left="360"/>
              <w:jc w:val="both"/>
              <w:rPr>
                <w:rFonts w:ascii="Arial" w:hAnsi="Arial" w:cs="Arial"/>
                <w:sz w:val="20"/>
                <w:szCs w:val="20"/>
              </w:rPr>
            </w:pPr>
            <w:r w:rsidRPr="009A41C3">
              <w:rPr>
                <w:rFonts w:ascii="Arial" w:hAnsi="Arial" w:cs="Arial"/>
                <w:sz w:val="20"/>
                <w:szCs w:val="20"/>
              </w:rPr>
              <w:t>27</w:t>
            </w:r>
          </w:p>
        </w:tc>
        <w:tc>
          <w:tcPr>
            <w:tcW w:w="1091" w:type="dxa"/>
            <w:tcBorders>
              <w:top w:val="nil"/>
              <w:bottom w:val="single" w:sz="4" w:space="0" w:color="000000"/>
            </w:tcBorders>
          </w:tcPr>
          <w:p w:rsidR="009A41C3" w:rsidRPr="009A41C3" w:rsidRDefault="009A41C3" w:rsidP="009A41C3">
            <w:pPr>
              <w:spacing w:after="0"/>
              <w:ind w:left="360"/>
              <w:jc w:val="both"/>
              <w:rPr>
                <w:rFonts w:ascii="Arial" w:hAnsi="Arial" w:cs="Arial"/>
                <w:sz w:val="20"/>
                <w:szCs w:val="20"/>
              </w:rPr>
            </w:pPr>
          </w:p>
        </w:tc>
        <w:tc>
          <w:tcPr>
            <w:tcW w:w="1091" w:type="dxa"/>
            <w:tcBorders>
              <w:top w:val="nil"/>
              <w:bottom w:val="single" w:sz="4" w:space="0" w:color="000000"/>
            </w:tcBorders>
          </w:tcPr>
          <w:p w:rsidR="009A41C3" w:rsidRPr="009A41C3" w:rsidRDefault="009A41C3" w:rsidP="009A41C3">
            <w:pPr>
              <w:spacing w:after="0"/>
              <w:ind w:left="360"/>
              <w:jc w:val="both"/>
              <w:rPr>
                <w:rFonts w:ascii="Arial" w:hAnsi="Arial" w:cs="Arial"/>
                <w:sz w:val="20"/>
                <w:szCs w:val="20"/>
              </w:rPr>
            </w:pPr>
          </w:p>
          <w:p w:rsidR="009A41C3" w:rsidRPr="009A41C3" w:rsidRDefault="009A41C3" w:rsidP="009A41C3">
            <w:pPr>
              <w:spacing w:after="0"/>
              <w:jc w:val="both"/>
              <w:rPr>
                <w:rFonts w:ascii="Arial" w:eastAsia="Times New Roman" w:hAnsi="Arial" w:cs="Arial"/>
                <w:color w:val="000000"/>
                <w:sz w:val="20"/>
                <w:szCs w:val="20"/>
                <w:lang w:val="en-US" w:eastAsia="de-DE"/>
              </w:rPr>
            </w:pPr>
          </w:p>
          <w:p w:rsidR="009A41C3" w:rsidRPr="009A41C3" w:rsidRDefault="009A41C3" w:rsidP="009A41C3">
            <w:pPr>
              <w:spacing w:after="0"/>
              <w:ind w:left="360"/>
              <w:jc w:val="both"/>
              <w:rPr>
                <w:rFonts w:ascii="Arial" w:hAnsi="Arial" w:cs="Arial"/>
                <w:sz w:val="20"/>
                <w:szCs w:val="20"/>
              </w:rPr>
            </w:pPr>
            <w:r w:rsidRPr="009A41C3">
              <w:rPr>
                <w:rFonts w:ascii="Arial" w:hAnsi="Arial" w:cs="Arial"/>
                <w:sz w:val="20"/>
                <w:szCs w:val="20"/>
              </w:rPr>
              <w:t>0.22</w:t>
            </w:r>
          </w:p>
          <w:p w:rsidR="009A41C3" w:rsidRPr="009A41C3" w:rsidRDefault="009A41C3" w:rsidP="009A41C3">
            <w:pPr>
              <w:spacing w:after="0"/>
              <w:jc w:val="both"/>
              <w:rPr>
                <w:rFonts w:ascii="Arial" w:eastAsia="Times New Roman" w:hAnsi="Arial" w:cs="Arial"/>
                <w:color w:val="000000"/>
                <w:sz w:val="20"/>
                <w:szCs w:val="20"/>
                <w:lang w:val="en-US" w:eastAsia="de-DE"/>
              </w:rPr>
            </w:pPr>
          </w:p>
          <w:p w:rsidR="009A41C3" w:rsidRPr="009A41C3" w:rsidRDefault="009A41C3" w:rsidP="009A41C3">
            <w:pPr>
              <w:spacing w:after="0"/>
              <w:jc w:val="both"/>
              <w:rPr>
                <w:rFonts w:ascii="Arial" w:eastAsia="Times New Roman" w:hAnsi="Arial" w:cs="Arial"/>
                <w:color w:val="000000"/>
                <w:sz w:val="20"/>
                <w:szCs w:val="20"/>
                <w:lang w:val="en-US" w:eastAsia="de-DE"/>
              </w:rPr>
            </w:pPr>
          </w:p>
          <w:p w:rsidR="009A41C3" w:rsidRPr="009A41C3" w:rsidRDefault="009A41C3" w:rsidP="009A41C3">
            <w:pPr>
              <w:spacing w:after="0"/>
              <w:ind w:left="360"/>
              <w:jc w:val="both"/>
              <w:rPr>
                <w:rFonts w:ascii="Arial" w:hAnsi="Arial" w:cs="Arial"/>
                <w:sz w:val="20"/>
                <w:szCs w:val="20"/>
              </w:rPr>
            </w:pPr>
            <w:r w:rsidRPr="009A41C3">
              <w:rPr>
                <w:rFonts w:ascii="Arial" w:hAnsi="Arial" w:cs="Arial"/>
                <w:sz w:val="20"/>
                <w:szCs w:val="20"/>
              </w:rPr>
              <w:t>0.14</w:t>
            </w:r>
          </w:p>
        </w:tc>
        <w:tc>
          <w:tcPr>
            <w:tcW w:w="1167" w:type="dxa"/>
            <w:tcBorders>
              <w:top w:val="nil"/>
              <w:bottom w:val="single" w:sz="4" w:space="0" w:color="000000"/>
            </w:tcBorders>
          </w:tcPr>
          <w:p w:rsidR="009A41C3" w:rsidRPr="009A41C3" w:rsidRDefault="009A41C3" w:rsidP="009A41C3">
            <w:pPr>
              <w:spacing w:after="0"/>
              <w:ind w:left="360"/>
              <w:jc w:val="both"/>
              <w:rPr>
                <w:rFonts w:ascii="Arial" w:hAnsi="Arial" w:cs="Arial"/>
                <w:sz w:val="20"/>
                <w:szCs w:val="20"/>
              </w:rPr>
            </w:pPr>
          </w:p>
        </w:tc>
      </w:tr>
    </w:tbl>
    <w:p w:rsidR="009A41C3" w:rsidRPr="009A41C3" w:rsidRDefault="009A41C3" w:rsidP="009A41C3">
      <w:pPr>
        <w:jc w:val="both"/>
        <w:rPr>
          <w:rFonts w:ascii="Arial" w:hAnsi="Arial" w:cs="Arial"/>
          <w:sz w:val="20"/>
          <w:szCs w:val="20"/>
        </w:rPr>
      </w:pPr>
      <w:r w:rsidRPr="009A41C3">
        <w:rPr>
          <w:rFonts w:ascii="Arial" w:hAnsi="Arial" w:cs="Arial"/>
          <w:sz w:val="20"/>
          <w:szCs w:val="20"/>
        </w:rPr>
        <w:t>Fuente: Entrevista semiestructurada. Grupo 1: CPnE crisis psicógenas no epilépticas, Grupo 2: CE crisis epiléptica. Paquete estadístico Statistic 8.0. Estadística descriptiva, diferencias entre proporciones. Significativo p≤0.05*.</w:t>
      </w:r>
    </w:p>
    <w:p w:rsidR="009A41C3" w:rsidRPr="009A41C3" w:rsidRDefault="009A41C3" w:rsidP="009A41C3">
      <w:pPr>
        <w:pStyle w:val="Sinespaciado"/>
        <w:jc w:val="both"/>
        <w:rPr>
          <w:rFonts w:cs="Arial"/>
          <w:szCs w:val="20"/>
        </w:rPr>
      </w:pPr>
    </w:p>
    <w:p w:rsidR="009A41C3" w:rsidRPr="009A41C3" w:rsidRDefault="009A41C3" w:rsidP="009A41C3">
      <w:pPr>
        <w:pStyle w:val="Sinespaciado"/>
        <w:jc w:val="both"/>
        <w:rPr>
          <w:rFonts w:cs="Arial"/>
          <w:szCs w:val="20"/>
        </w:rPr>
      </w:pPr>
    </w:p>
    <w:p w:rsidR="00996307" w:rsidRPr="009A41C3" w:rsidRDefault="00996307" w:rsidP="009A41C3">
      <w:pPr>
        <w:pStyle w:val="Ttulo3"/>
        <w:framePr w:wrap="notBeside"/>
        <w:shd w:val="clear" w:color="auto" w:fill="F2F2F2" w:themeFill="background1" w:themeFillShade="F2"/>
        <w:jc w:val="both"/>
        <w:rPr>
          <w:rFonts w:cs="Arial"/>
          <w:szCs w:val="20"/>
        </w:rPr>
      </w:pPr>
      <w:r w:rsidRPr="009A41C3">
        <w:rPr>
          <w:rFonts w:cs="Arial"/>
          <w:szCs w:val="20"/>
        </w:rPr>
        <w:t>Tabla 2.</w:t>
      </w:r>
    </w:p>
    <w:p w:rsidR="00996307" w:rsidRPr="009A41C3" w:rsidRDefault="00996307" w:rsidP="009A41C3">
      <w:pPr>
        <w:spacing w:after="0" w:line="240" w:lineRule="auto"/>
        <w:jc w:val="both"/>
        <w:rPr>
          <w:rFonts w:ascii="Arial" w:eastAsia="Calibri" w:hAnsi="Arial" w:cs="Arial"/>
          <w:b/>
          <w:sz w:val="20"/>
          <w:szCs w:val="20"/>
        </w:rPr>
      </w:pPr>
    </w:p>
    <w:p w:rsidR="009A41C3" w:rsidRPr="009A41C3" w:rsidRDefault="009A41C3" w:rsidP="009A41C3">
      <w:pPr>
        <w:autoSpaceDE w:val="0"/>
        <w:autoSpaceDN w:val="0"/>
        <w:adjustRightInd w:val="0"/>
        <w:spacing w:after="0"/>
        <w:jc w:val="both"/>
        <w:rPr>
          <w:rFonts w:ascii="Arial" w:eastAsia="Times New Roman" w:hAnsi="Arial" w:cs="Arial"/>
          <w:color w:val="000000"/>
          <w:sz w:val="20"/>
          <w:szCs w:val="20"/>
          <w:lang w:eastAsia="es-ES"/>
        </w:rPr>
      </w:pPr>
      <w:r w:rsidRPr="009A41C3">
        <w:rPr>
          <w:rFonts w:ascii="Arial" w:hAnsi="Arial" w:cs="Arial"/>
          <w:sz w:val="20"/>
          <w:szCs w:val="20"/>
        </w:rPr>
        <w:t>Tabla 2. Frecuencia de estresores en pacientes con CPnE y CE.</w:t>
      </w:r>
    </w:p>
    <w:tbl>
      <w:tblPr>
        <w:tblW w:w="0" w:type="auto"/>
        <w:tblLook w:val="04A0" w:firstRow="1" w:lastRow="0" w:firstColumn="1" w:lastColumn="0" w:noHBand="0" w:noVBand="1"/>
      </w:tblPr>
      <w:tblGrid>
        <w:gridCol w:w="3994"/>
        <w:gridCol w:w="1459"/>
        <w:gridCol w:w="1601"/>
      </w:tblGrid>
      <w:tr w:rsidR="009A41C3" w:rsidRPr="009A41C3" w:rsidTr="00A73711">
        <w:tc>
          <w:tcPr>
            <w:tcW w:w="3994" w:type="dxa"/>
            <w:vMerge w:val="restart"/>
            <w:tcBorders>
              <w:top w:val="single" w:sz="4" w:space="0" w:color="000000"/>
            </w:tcBorders>
            <w:shd w:val="clear" w:color="auto" w:fill="auto"/>
          </w:tcPr>
          <w:p w:rsidR="009A41C3" w:rsidRPr="009A41C3" w:rsidRDefault="009A41C3" w:rsidP="009A41C3">
            <w:pPr>
              <w:autoSpaceDE w:val="0"/>
              <w:autoSpaceDN w:val="0"/>
              <w:adjustRightInd w:val="0"/>
              <w:spacing w:after="0"/>
              <w:jc w:val="both"/>
              <w:rPr>
                <w:rFonts w:ascii="Arial" w:hAnsi="Arial" w:cs="Arial"/>
                <w:b/>
                <w:sz w:val="20"/>
                <w:szCs w:val="20"/>
              </w:rPr>
            </w:pPr>
          </w:p>
          <w:p w:rsidR="009A41C3" w:rsidRPr="009A41C3" w:rsidRDefault="009A41C3" w:rsidP="009A41C3">
            <w:pPr>
              <w:autoSpaceDE w:val="0"/>
              <w:autoSpaceDN w:val="0"/>
              <w:adjustRightInd w:val="0"/>
              <w:spacing w:after="0"/>
              <w:jc w:val="both"/>
              <w:rPr>
                <w:rFonts w:ascii="Arial" w:hAnsi="Arial" w:cs="Arial"/>
                <w:b/>
                <w:sz w:val="20"/>
                <w:szCs w:val="20"/>
              </w:rPr>
            </w:pPr>
            <w:r w:rsidRPr="009A41C3">
              <w:rPr>
                <w:rFonts w:ascii="Arial" w:hAnsi="Arial" w:cs="Arial"/>
                <w:b/>
                <w:sz w:val="20"/>
                <w:szCs w:val="20"/>
              </w:rPr>
              <w:t>Estresores</w:t>
            </w:r>
          </w:p>
        </w:tc>
        <w:tc>
          <w:tcPr>
            <w:tcW w:w="1459" w:type="dxa"/>
            <w:tcBorders>
              <w:top w:val="single" w:sz="4" w:space="0" w:color="000000"/>
            </w:tcBorders>
            <w:shd w:val="clear" w:color="auto" w:fill="auto"/>
          </w:tcPr>
          <w:p w:rsidR="009A41C3" w:rsidRPr="009A41C3" w:rsidRDefault="009A41C3" w:rsidP="009A41C3">
            <w:pPr>
              <w:autoSpaceDE w:val="0"/>
              <w:autoSpaceDN w:val="0"/>
              <w:adjustRightInd w:val="0"/>
              <w:spacing w:after="0"/>
              <w:jc w:val="both"/>
              <w:rPr>
                <w:rFonts w:ascii="Arial" w:hAnsi="Arial" w:cs="Arial"/>
                <w:b/>
                <w:sz w:val="20"/>
                <w:szCs w:val="20"/>
              </w:rPr>
            </w:pPr>
            <w:r w:rsidRPr="009A41C3">
              <w:rPr>
                <w:rFonts w:ascii="Arial" w:hAnsi="Arial" w:cs="Arial"/>
                <w:b/>
                <w:sz w:val="20"/>
                <w:szCs w:val="20"/>
              </w:rPr>
              <w:t>CPnE</w:t>
            </w:r>
          </w:p>
          <w:p w:rsidR="009A41C3" w:rsidRPr="009A41C3" w:rsidRDefault="009A41C3" w:rsidP="009A41C3">
            <w:pPr>
              <w:autoSpaceDE w:val="0"/>
              <w:autoSpaceDN w:val="0"/>
              <w:adjustRightInd w:val="0"/>
              <w:spacing w:after="0"/>
              <w:jc w:val="both"/>
              <w:rPr>
                <w:rFonts w:ascii="Arial" w:hAnsi="Arial" w:cs="Arial"/>
                <w:b/>
                <w:sz w:val="20"/>
                <w:szCs w:val="20"/>
              </w:rPr>
            </w:pPr>
            <w:r w:rsidRPr="009A41C3">
              <w:rPr>
                <w:rFonts w:ascii="Arial" w:hAnsi="Arial" w:cs="Arial"/>
                <w:b/>
                <w:sz w:val="20"/>
                <w:szCs w:val="20"/>
              </w:rPr>
              <w:t>N:23</w:t>
            </w:r>
          </w:p>
        </w:tc>
        <w:tc>
          <w:tcPr>
            <w:tcW w:w="1601" w:type="dxa"/>
            <w:tcBorders>
              <w:top w:val="single" w:sz="4" w:space="0" w:color="000000"/>
            </w:tcBorders>
            <w:shd w:val="clear" w:color="auto" w:fill="auto"/>
          </w:tcPr>
          <w:p w:rsidR="009A41C3" w:rsidRPr="009A41C3" w:rsidRDefault="009A41C3" w:rsidP="009A41C3">
            <w:pPr>
              <w:autoSpaceDE w:val="0"/>
              <w:autoSpaceDN w:val="0"/>
              <w:adjustRightInd w:val="0"/>
              <w:spacing w:after="0"/>
              <w:jc w:val="both"/>
              <w:rPr>
                <w:rFonts w:ascii="Arial" w:hAnsi="Arial" w:cs="Arial"/>
                <w:b/>
                <w:sz w:val="20"/>
                <w:szCs w:val="20"/>
              </w:rPr>
            </w:pPr>
            <w:r w:rsidRPr="009A41C3">
              <w:rPr>
                <w:rFonts w:ascii="Arial" w:hAnsi="Arial" w:cs="Arial"/>
                <w:b/>
                <w:sz w:val="20"/>
                <w:szCs w:val="20"/>
              </w:rPr>
              <w:t>CE</w:t>
            </w:r>
          </w:p>
          <w:p w:rsidR="009A41C3" w:rsidRPr="009A41C3" w:rsidRDefault="009A41C3" w:rsidP="009A41C3">
            <w:pPr>
              <w:autoSpaceDE w:val="0"/>
              <w:autoSpaceDN w:val="0"/>
              <w:adjustRightInd w:val="0"/>
              <w:spacing w:after="0"/>
              <w:jc w:val="both"/>
              <w:rPr>
                <w:rFonts w:ascii="Arial" w:hAnsi="Arial" w:cs="Arial"/>
                <w:b/>
                <w:sz w:val="20"/>
                <w:szCs w:val="20"/>
              </w:rPr>
            </w:pPr>
            <w:r w:rsidRPr="009A41C3">
              <w:rPr>
                <w:rFonts w:ascii="Arial" w:hAnsi="Arial" w:cs="Arial"/>
                <w:b/>
                <w:sz w:val="20"/>
                <w:szCs w:val="20"/>
              </w:rPr>
              <w:t>N:15</w:t>
            </w:r>
          </w:p>
        </w:tc>
      </w:tr>
      <w:tr w:rsidR="009A41C3" w:rsidRPr="009A41C3" w:rsidTr="00A73711">
        <w:tc>
          <w:tcPr>
            <w:tcW w:w="3994" w:type="dxa"/>
            <w:vMerge/>
            <w:tcBorders>
              <w:bottom w:val="single" w:sz="4" w:space="0" w:color="000000"/>
            </w:tcBorders>
            <w:shd w:val="clear" w:color="auto" w:fill="auto"/>
          </w:tcPr>
          <w:p w:rsidR="009A41C3" w:rsidRPr="009A41C3" w:rsidRDefault="009A41C3" w:rsidP="009A41C3">
            <w:pPr>
              <w:autoSpaceDE w:val="0"/>
              <w:autoSpaceDN w:val="0"/>
              <w:adjustRightInd w:val="0"/>
              <w:spacing w:after="0"/>
              <w:jc w:val="both"/>
              <w:rPr>
                <w:rFonts w:ascii="Arial" w:hAnsi="Arial" w:cs="Arial"/>
                <w:sz w:val="20"/>
                <w:szCs w:val="20"/>
              </w:rPr>
            </w:pPr>
          </w:p>
        </w:tc>
        <w:tc>
          <w:tcPr>
            <w:tcW w:w="1459" w:type="dxa"/>
            <w:tcBorders>
              <w:bottom w:val="single" w:sz="4" w:space="0" w:color="000000"/>
            </w:tcBorders>
            <w:shd w:val="clear" w:color="auto" w:fill="auto"/>
          </w:tcPr>
          <w:p w:rsidR="009A41C3" w:rsidRPr="009A41C3" w:rsidRDefault="009A41C3" w:rsidP="009A41C3">
            <w:pPr>
              <w:autoSpaceDE w:val="0"/>
              <w:autoSpaceDN w:val="0"/>
              <w:adjustRightInd w:val="0"/>
              <w:spacing w:after="0"/>
              <w:jc w:val="both"/>
              <w:rPr>
                <w:rFonts w:ascii="Arial" w:hAnsi="Arial" w:cs="Arial"/>
                <w:sz w:val="20"/>
                <w:szCs w:val="20"/>
              </w:rPr>
            </w:pPr>
            <w:r w:rsidRPr="009A41C3">
              <w:rPr>
                <w:rFonts w:ascii="Arial" w:hAnsi="Arial" w:cs="Arial"/>
                <w:sz w:val="20"/>
                <w:szCs w:val="20"/>
              </w:rPr>
              <w:t>No (%)</w:t>
            </w:r>
          </w:p>
        </w:tc>
        <w:tc>
          <w:tcPr>
            <w:tcW w:w="1601" w:type="dxa"/>
            <w:tcBorders>
              <w:bottom w:val="single" w:sz="4" w:space="0" w:color="000000"/>
            </w:tcBorders>
            <w:shd w:val="clear" w:color="auto" w:fill="auto"/>
          </w:tcPr>
          <w:p w:rsidR="009A41C3" w:rsidRPr="009A41C3" w:rsidRDefault="009A41C3" w:rsidP="009A41C3">
            <w:pPr>
              <w:autoSpaceDE w:val="0"/>
              <w:autoSpaceDN w:val="0"/>
              <w:adjustRightInd w:val="0"/>
              <w:spacing w:after="0"/>
              <w:jc w:val="both"/>
              <w:rPr>
                <w:rFonts w:ascii="Arial" w:hAnsi="Arial" w:cs="Arial"/>
                <w:sz w:val="20"/>
                <w:szCs w:val="20"/>
              </w:rPr>
            </w:pPr>
            <w:r w:rsidRPr="009A41C3">
              <w:rPr>
                <w:rFonts w:ascii="Arial" w:hAnsi="Arial" w:cs="Arial"/>
                <w:sz w:val="20"/>
                <w:szCs w:val="20"/>
              </w:rPr>
              <w:t>No (%)</w:t>
            </w:r>
          </w:p>
        </w:tc>
      </w:tr>
      <w:tr w:rsidR="009A41C3" w:rsidRPr="009A41C3" w:rsidTr="00A73711">
        <w:tc>
          <w:tcPr>
            <w:tcW w:w="3994" w:type="dxa"/>
            <w:tcBorders>
              <w:top w:val="single" w:sz="4" w:space="0" w:color="000000"/>
            </w:tcBorders>
            <w:shd w:val="clear" w:color="auto" w:fill="auto"/>
          </w:tcPr>
          <w:p w:rsidR="009A41C3" w:rsidRPr="009A41C3" w:rsidRDefault="009A41C3" w:rsidP="009A41C3">
            <w:pPr>
              <w:numPr>
                <w:ilvl w:val="0"/>
                <w:numId w:val="6"/>
              </w:numPr>
              <w:autoSpaceDE w:val="0"/>
              <w:autoSpaceDN w:val="0"/>
              <w:adjustRightInd w:val="0"/>
              <w:spacing w:after="0" w:line="276" w:lineRule="auto"/>
              <w:jc w:val="both"/>
              <w:rPr>
                <w:rFonts w:ascii="Arial" w:hAnsi="Arial" w:cs="Arial"/>
                <w:sz w:val="20"/>
                <w:szCs w:val="20"/>
              </w:rPr>
            </w:pPr>
            <w:r w:rsidRPr="009A41C3">
              <w:rPr>
                <w:rFonts w:ascii="Arial" w:hAnsi="Arial" w:cs="Arial"/>
                <w:sz w:val="20"/>
                <w:szCs w:val="20"/>
              </w:rPr>
              <w:t>Pérdida de un ser querido</w:t>
            </w:r>
          </w:p>
        </w:tc>
        <w:tc>
          <w:tcPr>
            <w:tcW w:w="1459" w:type="dxa"/>
            <w:tcBorders>
              <w:top w:val="single" w:sz="4" w:space="0" w:color="000000"/>
            </w:tcBorders>
            <w:shd w:val="clear" w:color="auto" w:fill="auto"/>
          </w:tcPr>
          <w:p w:rsidR="009A41C3" w:rsidRPr="009A41C3" w:rsidRDefault="009A41C3" w:rsidP="009A41C3">
            <w:pPr>
              <w:autoSpaceDE w:val="0"/>
              <w:autoSpaceDN w:val="0"/>
              <w:adjustRightInd w:val="0"/>
              <w:spacing w:after="0"/>
              <w:jc w:val="both"/>
              <w:rPr>
                <w:rFonts w:ascii="Arial" w:hAnsi="Arial" w:cs="Arial"/>
                <w:sz w:val="20"/>
                <w:szCs w:val="20"/>
              </w:rPr>
            </w:pPr>
            <w:r w:rsidRPr="009A41C3">
              <w:rPr>
                <w:rFonts w:ascii="Arial" w:hAnsi="Arial" w:cs="Arial"/>
                <w:sz w:val="20"/>
                <w:szCs w:val="20"/>
              </w:rPr>
              <w:t>11(48)</w:t>
            </w:r>
          </w:p>
        </w:tc>
        <w:tc>
          <w:tcPr>
            <w:tcW w:w="1601" w:type="dxa"/>
            <w:tcBorders>
              <w:top w:val="single" w:sz="4" w:space="0" w:color="000000"/>
            </w:tcBorders>
            <w:shd w:val="clear" w:color="auto" w:fill="auto"/>
          </w:tcPr>
          <w:p w:rsidR="009A41C3" w:rsidRPr="009A41C3" w:rsidDel="002864C4" w:rsidRDefault="009A41C3" w:rsidP="009A41C3">
            <w:pPr>
              <w:autoSpaceDE w:val="0"/>
              <w:autoSpaceDN w:val="0"/>
              <w:adjustRightInd w:val="0"/>
              <w:ind w:left="360"/>
              <w:jc w:val="both"/>
              <w:rPr>
                <w:rFonts w:ascii="Arial" w:hAnsi="Arial" w:cs="Arial"/>
                <w:sz w:val="20"/>
                <w:szCs w:val="20"/>
              </w:rPr>
            </w:pPr>
            <w:r w:rsidRPr="009A41C3">
              <w:rPr>
                <w:rFonts w:ascii="Arial" w:hAnsi="Arial" w:cs="Arial"/>
                <w:sz w:val="20"/>
                <w:szCs w:val="20"/>
              </w:rPr>
              <w:t>0 (0)</w:t>
            </w:r>
          </w:p>
        </w:tc>
      </w:tr>
      <w:tr w:rsidR="009A41C3" w:rsidRPr="009A41C3" w:rsidTr="00A73711">
        <w:tc>
          <w:tcPr>
            <w:tcW w:w="3994" w:type="dxa"/>
            <w:shd w:val="clear" w:color="auto" w:fill="auto"/>
          </w:tcPr>
          <w:p w:rsidR="009A41C3" w:rsidRPr="009A41C3" w:rsidRDefault="009A41C3" w:rsidP="009A41C3">
            <w:pPr>
              <w:numPr>
                <w:ilvl w:val="0"/>
                <w:numId w:val="6"/>
              </w:numPr>
              <w:autoSpaceDE w:val="0"/>
              <w:autoSpaceDN w:val="0"/>
              <w:adjustRightInd w:val="0"/>
              <w:spacing w:after="0" w:line="276" w:lineRule="auto"/>
              <w:jc w:val="both"/>
              <w:rPr>
                <w:rFonts w:ascii="Arial" w:hAnsi="Arial" w:cs="Arial"/>
                <w:sz w:val="20"/>
                <w:szCs w:val="20"/>
              </w:rPr>
            </w:pPr>
            <w:r w:rsidRPr="009A41C3">
              <w:rPr>
                <w:rFonts w:ascii="Arial" w:hAnsi="Arial" w:cs="Arial"/>
                <w:sz w:val="20"/>
                <w:szCs w:val="20"/>
              </w:rPr>
              <w:t xml:space="preserve">Divorcio </w:t>
            </w:r>
          </w:p>
        </w:tc>
        <w:tc>
          <w:tcPr>
            <w:tcW w:w="1459" w:type="dxa"/>
            <w:shd w:val="clear" w:color="auto" w:fill="auto"/>
          </w:tcPr>
          <w:p w:rsidR="009A41C3" w:rsidRPr="009A41C3" w:rsidRDefault="009A41C3" w:rsidP="009A41C3">
            <w:pPr>
              <w:autoSpaceDE w:val="0"/>
              <w:autoSpaceDN w:val="0"/>
              <w:adjustRightInd w:val="0"/>
              <w:spacing w:after="0"/>
              <w:jc w:val="both"/>
              <w:rPr>
                <w:rFonts w:ascii="Arial" w:hAnsi="Arial" w:cs="Arial"/>
                <w:sz w:val="20"/>
                <w:szCs w:val="20"/>
              </w:rPr>
            </w:pPr>
            <w:r w:rsidRPr="009A41C3">
              <w:rPr>
                <w:rFonts w:ascii="Arial" w:hAnsi="Arial" w:cs="Arial"/>
                <w:sz w:val="20"/>
                <w:szCs w:val="20"/>
              </w:rPr>
              <w:t>5 (22)</w:t>
            </w:r>
          </w:p>
        </w:tc>
        <w:tc>
          <w:tcPr>
            <w:tcW w:w="1601" w:type="dxa"/>
            <w:shd w:val="clear" w:color="auto" w:fill="auto"/>
          </w:tcPr>
          <w:p w:rsidR="009A41C3" w:rsidRPr="009A41C3" w:rsidDel="002864C4" w:rsidRDefault="009A41C3" w:rsidP="009A41C3">
            <w:pPr>
              <w:autoSpaceDE w:val="0"/>
              <w:autoSpaceDN w:val="0"/>
              <w:adjustRightInd w:val="0"/>
              <w:ind w:left="360"/>
              <w:jc w:val="both"/>
              <w:rPr>
                <w:rFonts w:ascii="Arial" w:hAnsi="Arial" w:cs="Arial"/>
                <w:sz w:val="20"/>
                <w:szCs w:val="20"/>
              </w:rPr>
            </w:pPr>
            <w:r w:rsidRPr="009A41C3">
              <w:rPr>
                <w:rFonts w:ascii="Arial" w:hAnsi="Arial" w:cs="Arial"/>
                <w:sz w:val="20"/>
                <w:szCs w:val="20"/>
              </w:rPr>
              <w:t>0 (0)</w:t>
            </w:r>
          </w:p>
        </w:tc>
      </w:tr>
      <w:tr w:rsidR="009A41C3" w:rsidRPr="009A41C3" w:rsidTr="00A73711">
        <w:tc>
          <w:tcPr>
            <w:tcW w:w="3994" w:type="dxa"/>
            <w:shd w:val="clear" w:color="auto" w:fill="auto"/>
          </w:tcPr>
          <w:p w:rsidR="009A41C3" w:rsidRPr="009A41C3" w:rsidRDefault="009A41C3" w:rsidP="009A41C3">
            <w:pPr>
              <w:numPr>
                <w:ilvl w:val="0"/>
                <w:numId w:val="6"/>
              </w:numPr>
              <w:autoSpaceDE w:val="0"/>
              <w:autoSpaceDN w:val="0"/>
              <w:adjustRightInd w:val="0"/>
              <w:spacing w:after="0" w:line="276" w:lineRule="auto"/>
              <w:jc w:val="both"/>
              <w:rPr>
                <w:rFonts w:ascii="Arial" w:hAnsi="Arial" w:cs="Arial"/>
                <w:sz w:val="20"/>
                <w:szCs w:val="20"/>
              </w:rPr>
            </w:pPr>
            <w:r w:rsidRPr="009A41C3">
              <w:rPr>
                <w:rFonts w:ascii="Arial" w:hAnsi="Arial" w:cs="Arial"/>
                <w:sz w:val="20"/>
                <w:szCs w:val="20"/>
              </w:rPr>
              <w:t>Dificultades académicas</w:t>
            </w:r>
          </w:p>
        </w:tc>
        <w:tc>
          <w:tcPr>
            <w:tcW w:w="1459" w:type="dxa"/>
            <w:shd w:val="clear" w:color="auto" w:fill="auto"/>
          </w:tcPr>
          <w:p w:rsidR="009A41C3" w:rsidRPr="009A41C3" w:rsidRDefault="009A41C3" w:rsidP="009A41C3">
            <w:pPr>
              <w:autoSpaceDE w:val="0"/>
              <w:autoSpaceDN w:val="0"/>
              <w:adjustRightInd w:val="0"/>
              <w:spacing w:after="0"/>
              <w:jc w:val="both"/>
              <w:rPr>
                <w:rFonts w:ascii="Arial" w:hAnsi="Arial" w:cs="Arial"/>
                <w:sz w:val="20"/>
                <w:szCs w:val="20"/>
              </w:rPr>
            </w:pPr>
            <w:r w:rsidRPr="009A41C3">
              <w:rPr>
                <w:rFonts w:ascii="Arial" w:hAnsi="Arial" w:cs="Arial"/>
                <w:sz w:val="20"/>
                <w:szCs w:val="20"/>
              </w:rPr>
              <w:t>3 (13)</w:t>
            </w:r>
          </w:p>
        </w:tc>
        <w:tc>
          <w:tcPr>
            <w:tcW w:w="1601" w:type="dxa"/>
            <w:shd w:val="clear" w:color="auto" w:fill="auto"/>
          </w:tcPr>
          <w:p w:rsidR="009A41C3" w:rsidRPr="009A41C3" w:rsidDel="002864C4" w:rsidRDefault="009A41C3" w:rsidP="009A41C3">
            <w:pPr>
              <w:autoSpaceDE w:val="0"/>
              <w:autoSpaceDN w:val="0"/>
              <w:adjustRightInd w:val="0"/>
              <w:ind w:left="360"/>
              <w:jc w:val="both"/>
              <w:rPr>
                <w:rFonts w:ascii="Arial" w:hAnsi="Arial" w:cs="Arial"/>
                <w:sz w:val="20"/>
                <w:szCs w:val="20"/>
              </w:rPr>
            </w:pPr>
            <w:r w:rsidRPr="009A41C3">
              <w:rPr>
                <w:rFonts w:ascii="Arial" w:hAnsi="Arial" w:cs="Arial"/>
                <w:sz w:val="20"/>
                <w:szCs w:val="20"/>
              </w:rPr>
              <w:t>0 (0)</w:t>
            </w:r>
          </w:p>
        </w:tc>
      </w:tr>
      <w:tr w:rsidR="009A41C3" w:rsidRPr="009A41C3" w:rsidTr="00A73711">
        <w:tc>
          <w:tcPr>
            <w:tcW w:w="3994" w:type="dxa"/>
            <w:shd w:val="clear" w:color="auto" w:fill="auto"/>
          </w:tcPr>
          <w:p w:rsidR="009A41C3" w:rsidRPr="009A41C3" w:rsidRDefault="009A41C3" w:rsidP="009A41C3">
            <w:pPr>
              <w:numPr>
                <w:ilvl w:val="0"/>
                <w:numId w:val="6"/>
              </w:numPr>
              <w:autoSpaceDE w:val="0"/>
              <w:autoSpaceDN w:val="0"/>
              <w:adjustRightInd w:val="0"/>
              <w:spacing w:after="0" w:line="276" w:lineRule="auto"/>
              <w:jc w:val="both"/>
              <w:rPr>
                <w:rFonts w:ascii="Arial" w:hAnsi="Arial" w:cs="Arial"/>
                <w:sz w:val="20"/>
                <w:szCs w:val="20"/>
              </w:rPr>
            </w:pPr>
            <w:r w:rsidRPr="009A41C3">
              <w:rPr>
                <w:rFonts w:ascii="Arial" w:hAnsi="Arial" w:cs="Arial"/>
                <w:sz w:val="20"/>
                <w:szCs w:val="20"/>
              </w:rPr>
              <w:t>Cambio de ambiente</w:t>
            </w:r>
          </w:p>
        </w:tc>
        <w:tc>
          <w:tcPr>
            <w:tcW w:w="1459" w:type="dxa"/>
            <w:shd w:val="clear" w:color="auto" w:fill="auto"/>
          </w:tcPr>
          <w:p w:rsidR="009A41C3" w:rsidRPr="009A41C3" w:rsidRDefault="009A41C3" w:rsidP="009A41C3">
            <w:pPr>
              <w:autoSpaceDE w:val="0"/>
              <w:autoSpaceDN w:val="0"/>
              <w:adjustRightInd w:val="0"/>
              <w:spacing w:after="0"/>
              <w:jc w:val="both"/>
              <w:rPr>
                <w:rFonts w:ascii="Arial" w:hAnsi="Arial" w:cs="Arial"/>
                <w:sz w:val="20"/>
                <w:szCs w:val="20"/>
              </w:rPr>
            </w:pPr>
            <w:r w:rsidRPr="009A41C3">
              <w:rPr>
                <w:rFonts w:ascii="Arial" w:hAnsi="Arial" w:cs="Arial"/>
                <w:sz w:val="20"/>
                <w:szCs w:val="20"/>
              </w:rPr>
              <w:t>4 (17)</w:t>
            </w:r>
          </w:p>
        </w:tc>
        <w:tc>
          <w:tcPr>
            <w:tcW w:w="1601" w:type="dxa"/>
            <w:shd w:val="clear" w:color="auto" w:fill="auto"/>
          </w:tcPr>
          <w:p w:rsidR="009A41C3" w:rsidRPr="009A41C3" w:rsidDel="002864C4" w:rsidRDefault="009A41C3" w:rsidP="009A41C3">
            <w:pPr>
              <w:autoSpaceDE w:val="0"/>
              <w:autoSpaceDN w:val="0"/>
              <w:adjustRightInd w:val="0"/>
              <w:ind w:left="360"/>
              <w:jc w:val="both"/>
              <w:rPr>
                <w:rFonts w:ascii="Arial" w:hAnsi="Arial" w:cs="Arial"/>
                <w:sz w:val="20"/>
                <w:szCs w:val="20"/>
              </w:rPr>
            </w:pPr>
            <w:r w:rsidRPr="009A41C3">
              <w:rPr>
                <w:rFonts w:ascii="Arial" w:hAnsi="Arial" w:cs="Arial"/>
                <w:sz w:val="20"/>
                <w:szCs w:val="20"/>
              </w:rPr>
              <w:t>0 (0)</w:t>
            </w:r>
          </w:p>
        </w:tc>
      </w:tr>
      <w:tr w:rsidR="009A41C3" w:rsidRPr="009A41C3" w:rsidTr="00A73711">
        <w:tc>
          <w:tcPr>
            <w:tcW w:w="3994" w:type="dxa"/>
            <w:shd w:val="clear" w:color="auto" w:fill="auto"/>
          </w:tcPr>
          <w:p w:rsidR="009A41C3" w:rsidRPr="009A41C3" w:rsidRDefault="009A41C3" w:rsidP="009A41C3">
            <w:pPr>
              <w:numPr>
                <w:ilvl w:val="0"/>
                <w:numId w:val="6"/>
              </w:numPr>
              <w:autoSpaceDE w:val="0"/>
              <w:autoSpaceDN w:val="0"/>
              <w:adjustRightInd w:val="0"/>
              <w:spacing w:after="0" w:line="276" w:lineRule="auto"/>
              <w:jc w:val="both"/>
              <w:rPr>
                <w:rFonts w:ascii="Arial" w:hAnsi="Arial" w:cs="Arial"/>
                <w:sz w:val="20"/>
                <w:szCs w:val="20"/>
              </w:rPr>
            </w:pPr>
            <w:r w:rsidRPr="009A41C3">
              <w:rPr>
                <w:rFonts w:ascii="Arial" w:hAnsi="Arial" w:cs="Arial"/>
                <w:sz w:val="20"/>
                <w:szCs w:val="20"/>
              </w:rPr>
              <w:t>Trauma psicológico</w:t>
            </w:r>
          </w:p>
        </w:tc>
        <w:tc>
          <w:tcPr>
            <w:tcW w:w="1459" w:type="dxa"/>
            <w:shd w:val="clear" w:color="auto" w:fill="auto"/>
          </w:tcPr>
          <w:p w:rsidR="009A41C3" w:rsidRPr="009A41C3" w:rsidRDefault="009A41C3" w:rsidP="009A41C3">
            <w:pPr>
              <w:autoSpaceDE w:val="0"/>
              <w:autoSpaceDN w:val="0"/>
              <w:adjustRightInd w:val="0"/>
              <w:spacing w:after="0"/>
              <w:jc w:val="both"/>
              <w:rPr>
                <w:rFonts w:ascii="Arial" w:hAnsi="Arial" w:cs="Arial"/>
                <w:sz w:val="20"/>
                <w:szCs w:val="20"/>
              </w:rPr>
            </w:pPr>
            <w:r w:rsidRPr="009A41C3">
              <w:rPr>
                <w:rFonts w:ascii="Arial" w:hAnsi="Arial" w:cs="Arial"/>
                <w:sz w:val="20"/>
                <w:szCs w:val="20"/>
              </w:rPr>
              <w:t>2 (9)</w:t>
            </w:r>
          </w:p>
        </w:tc>
        <w:tc>
          <w:tcPr>
            <w:tcW w:w="1601" w:type="dxa"/>
            <w:shd w:val="clear" w:color="auto" w:fill="auto"/>
          </w:tcPr>
          <w:p w:rsidR="009A41C3" w:rsidRPr="009A41C3" w:rsidDel="002864C4" w:rsidRDefault="009A41C3" w:rsidP="009A41C3">
            <w:pPr>
              <w:autoSpaceDE w:val="0"/>
              <w:autoSpaceDN w:val="0"/>
              <w:adjustRightInd w:val="0"/>
              <w:ind w:left="360"/>
              <w:jc w:val="both"/>
              <w:rPr>
                <w:rFonts w:ascii="Arial" w:hAnsi="Arial" w:cs="Arial"/>
                <w:sz w:val="20"/>
                <w:szCs w:val="20"/>
              </w:rPr>
            </w:pPr>
            <w:r w:rsidRPr="009A41C3">
              <w:rPr>
                <w:rFonts w:ascii="Arial" w:hAnsi="Arial" w:cs="Arial"/>
                <w:sz w:val="20"/>
                <w:szCs w:val="20"/>
              </w:rPr>
              <w:t>2 (13)</w:t>
            </w:r>
          </w:p>
        </w:tc>
      </w:tr>
      <w:tr w:rsidR="009A41C3" w:rsidRPr="009A41C3" w:rsidTr="00A73711">
        <w:tc>
          <w:tcPr>
            <w:tcW w:w="3994" w:type="dxa"/>
            <w:shd w:val="clear" w:color="auto" w:fill="auto"/>
          </w:tcPr>
          <w:p w:rsidR="009A41C3" w:rsidRPr="009A41C3" w:rsidRDefault="009A41C3" w:rsidP="009A41C3">
            <w:pPr>
              <w:numPr>
                <w:ilvl w:val="0"/>
                <w:numId w:val="6"/>
              </w:numPr>
              <w:autoSpaceDE w:val="0"/>
              <w:autoSpaceDN w:val="0"/>
              <w:adjustRightInd w:val="0"/>
              <w:spacing w:after="0" w:line="276" w:lineRule="auto"/>
              <w:jc w:val="both"/>
              <w:rPr>
                <w:rFonts w:ascii="Arial" w:hAnsi="Arial" w:cs="Arial"/>
                <w:sz w:val="20"/>
                <w:szCs w:val="20"/>
              </w:rPr>
            </w:pPr>
            <w:r w:rsidRPr="009A41C3">
              <w:rPr>
                <w:rFonts w:ascii="Arial" w:hAnsi="Arial" w:cs="Arial"/>
                <w:sz w:val="20"/>
                <w:szCs w:val="20"/>
              </w:rPr>
              <w:t>Nacimiento de un hermano</w:t>
            </w:r>
          </w:p>
        </w:tc>
        <w:tc>
          <w:tcPr>
            <w:tcW w:w="1459" w:type="dxa"/>
            <w:shd w:val="clear" w:color="auto" w:fill="auto"/>
          </w:tcPr>
          <w:p w:rsidR="009A41C3" w:rsidRPr="009A41C3" w:rsidRDefault="009A41C3" w:rsidP="009A41C3">
            <w:pPr>
              <w:autoSpaceDE w:val="0"/>
              <w:autoSpaceDN w:val="0"/>
              <w:adjustRightInd w:val="0"/>
              <w:spacing w:after="0"/>
              <w:jc w:val="both"/>
              <w:rPr>
                <w:rFonts w:ascii="Arial" w:hAnsi="Arial" w:cs="Arial"/>
                <w:sz w:val="20"/>
                <w:szCs w:val="20"/>
              </w:rPr>
            </w:pPr>
            <w:r w:rsidRPr="009A41C3">
              <w:rPr>
                <w:rFonts w:ascii="Arial" w:hAnsi="Arial" w:cs="Arial"/>
                <w:sz w:val="20"/>
                <w:szCs w:val="20"/>
              </w:rPr>
              <w:t>2 (9)</w:t>
            </w:r>
          </w:p>
        </w:tc>
        <w:tc>
          <w:tcPr>
            <w:tcW w:w="1601" w:type="dxa"/>
            <w:shd w:val="clear" w:color="auto" w:fill="auto"/>
          </w:tcPr>
          <w:p w:rsidR="009A41C3" w:rsidRPr="009A41C3" w:rsidDel="002864C4" w:rsidRDefault="009A41C3" w:rsidP="009A41C3">
            <w:pPr>
              <w:autoSpaceDE w:val="0"/>
              <w:autoSpaceDN w:val="0"/>
              <w:adjustRightInd w:val="0"/>
              <w:ind w:left="360"/>
              <w:jc w:val="both"/>
              <w:rPr>
                <w:rFonts w:ascii="Arial" w:hAnsi="Arial" w:cs="Arial"/>
                <w:sz w:val="20"/>
                <w:szCs w:val="20"/>
              </w:rPr>
            </w:pPr>
            <w:r w:rsidRPr="009A41C3">
              <w:rPr>
                <w:rFonts w:ascii="Arial" w:hAnsi="Arial" w:cs="Arial"/>
                <w:sz w:val="20"/>
                <w:szCs w:val="20"/>
              </w:rPr>
              <w:t>0 (0)</w:t>
            </w:r>
          </w:p>
        </w:tc>
      </w:tr>
      <w:tr w:rsidR="009A41C3" w:rsidRPr="009A41C3" w:rsidTr="00A73711">
        <w:tc>
          <w:tcPr>
            <w:tcW w:w="3994" w:type="dxa"/>
            <w:shd w:val="clear" w:color="auto" w:fill="auto"/>
          </w:tcPr>
          <w:p w:rsidR="009A41C3" w:rsidRPr="009A41C3" w:rsidRDefault="009A41C3" w:rsidP="009A41C3">
            <w:pPr>
              <w:numPr>
                <w:ilvl w:val="0"/>
                <w:numId w:val="6"/>
              </w:numPr>
              <w:autoSpaceDE w:val="0"/>
              <w:autoSpaceDN w:val="0"/>
              <w:adjustRightInd w:val="0"/>
              <w:spacing w:after="0" w:line="276" w:lineRule="auto"/>
              <w:jc w:val="both"/>
              <w:rPr>
                <w:rFonts w:ascii="Arial" w:hAnsi="Arial" w:cs="Arial"/>
                <w:sz w:val="20"/>
                <w:szCs w:val="20"/>
              </w:rPr>
            </w:pPr>
            <w:r w:rsidRPr="009A41C3">
              <w:rPr>
                <w:rFonts w:ascii="Arial" w:hAnsi="Arial" w:cs="Arial"/>
                <w:sz w:val="20"/>
                <w:szCs w:val="20"/>
              </w:rPr>
              <w:t>Problemas del corazón</w:t>
            </w:r>
          </w:p>
        </w:tc>
        <w:tc>
          <w:tcPr>
            <w:tcW w:w="1459" w:type="dxa"/>
            <w:shd w:val="clear" w:color="auto" w:fill="auto"/>
          </w:tcPr>
          <w:p w:rsidR="009A41C3" w:rsidRPr="009A41C3" w:rsidRDefault="009A41C3" w:rsidP="009A41C3">
            <w:pPr>
              <w:autoSpaceDE w:val="0"/>
              <w:autoSpaceDN w:val="0"/>
              <w:adjustRightInd w:val="0"/>
              <w:spacing w:after="0"/>
              <w:jc w:val="both"/>
              <w:rPr>
                <w:rFonts w:ascii="Arial" w:hAnsi="Arial" w:cs="Arial"/>
                <w:sz w:val="20"/>
                <w:szCs w:val="20"/>
              </w:rPr>
            </w:pPr>
            <w:r w:rsidRPr="009A41C3">
              <w:rPr>
                <w:rFonts w:ascii="Arial" w:hAnsi="Arial" w:cs="Arial"/>
                <w:sz w:val="20"/>
                <w:szCs w:val="20"/>
              </w:rPr>
              <w:t>3 (13)</w:t>
            </w:r>
          </w:p>
        </w:tc>
        <w:tc>
          <w:tcPr>
            <w:tcW w:w="1601" w:type="dxa"/>
            <w:shd w:val="clear" w:color="auto" w:fill="auto"/>
          </w:tcPr>
          <w:p w:rsidR="009A41C3" w:rsidRPr="009A41C3" w:rsidDel="002864C4" w:rsidRDefault="009A41C3" w:rsidP="009A41C3">
            <w:pPr>
              <w:autoSpaceDE w:val="0"/>
              <w:autoSpaceDN w:val="0"/>
              <w:adjustRightInd w:val="0"/>
              <w:ind w:left="360"/>
              <w:jc w:val="both"/>
              <w:rPr>
                <w:rFonts w:ascii="Arial" w:hAnsi="Arial" w:cs="Arial"/>
                <w:sz w:val="20"/>
                <w:szCs w:val="20"/>
              </w:rPr>
            </w:pPr>
            <w:r w:rsidRPr="009A41C3">
              <w:rPr>
                <w:rFonts w:ascii="Arial" w:hAnsi="Arial" w:cs="Arial"/>
                <w:sz w:val="20"/>
                <w:szCs w:val="20"/>
              </w:rPr>
              <w:t>0 (0)</w:t>
            </w:r>
          </w:p>
        </w:tc>
      </w:tr>
      <w:tr w:rsidR="009A41C3" w:rsidRPr="009A41C3" w:rsidTr="00A73711">
        <w:tc>
          <w:tcPr>
            <w:tcW w:w="3994" w:type="dxa"/>
            <w:shd w:val="clear" w:color="auto" w:fill="auto"/>
          </w:tcPr>
          <w:p w:rsidR="009A41C3" w:rsidRPr="009A41C3" w:rsidRDefault="009A41C3" w:rsidP="009A41C3">
            <w:pPr>
              <w:numPr>
                <w:ilvl w:val="0"/>
                <w:numId w:val="6"/>
              </w:numPr>
              <w:autoSpaceDE w:val="0"/>
              <w:autoSpaceDN w:val="0"/>
              <w:adjustRightInd w:val="0"/>
              <w:spacing w:after="0" w:line="276" w:lineRule="auto"/>
              <w:jc w:val="both"/>
              <w:rPr>
                <w:rFonts w:ascii="Arial" w:hAnsi="Arial" w:cs="Arial"/>
                <w:sz w:val="20"/>
                <w:szCs w:val="20"/>
              </w:rPr>
            </w:pPr>
            <w:r w:rsidRPr="009A41C3">
              <w:rPr>
                <w:rFonts w:ascii="Arial" w:hAnsi="Arial" w:cs="Arial"/>
                <w:sz w:val="20"/>
                <w:szCs w:val="20"/>
              </w:rPr>
              <w:t>Acciones legales</w:t>
            </w:r>
          </w:p>
        </w:tc>
        <w:tc>
          <w:tcPr>
            <w:tcW w:w="1459" w:type="dxa"/>
            <w:shd w:val="clear" w:color="auto" w:fill="auto"/>
          </w:tcPr>
          <w:p w:rsidR="009A41C3" w:rsidRPr="009A41C3" w:rsidRDefault="009A41C3" w:rsidP="009A41C3">
            <w:pPr>
              <w:autoSpaceDE w:val="0"/>
              <w:autoSpaceDN w:val="0"/>
              <w:adjustRightInd w:val="0"/>
              <w:spacing w:after="0"/>
              <w:jc w:val="both"/>
              <w:rPr>
                <w:rFonts w:ascii="Arial" w:hAnsi="Arial" w:cs="Arial"/>
                <w:sz w:val="20"/>
                <w:szCs w:val="20"/>
              </w:rPr>
            </w:pPr>
            <w:r w:rsidRPr="009A41C3">
              <w:rPr>
                <w:rFonts w:ascii="Arial" w:hAnsi="Arial" w:cs="Arial"/>
                <w:sz w:val="20"/>
                <w:szCs w:val="20"/>
              </w:rPr>
              <w:t>2 (9)</w:t>
            </w:r>
          </w:p>
        </w:tc>
        <w:tc>
          <w:tcPr>
            <w:tcW w:w="1601" w:type="dxa"/>
            <w:shd w:val="clear" w:color="auto" w:fill="auto"/>
          </w:tcPr>
          <w:p w:rsidR="009A41C3" w:rsidRPr="009A41C3" w:rsidDel="002864C4" w:rsidRDefault="009A41C3" w:rsidP="009A41C3">
            <w:pPr>
              <w:autoSpaceDE w:val="0"/>
              <w:autoSpaceDN w:val="0"/>
              <w:adjustRightInd w:val="0"/>
              <w:ind w:left="360"/>
              <w:jc w:val="both"/>
              <w:rPr>
                <w:rFonts w:ascii="Arial" w:hAnsi="Arial" w:cs="Arial"/>
                <w:sz w:val="20"/>
                <w:szCs w:val="20"/>
              </w:rPr>
            </w:pPr>
            <w:r w:rsidRPr="009A41C3">
              <w:rPr>
                <w:rFonts w:ascii="Arial" w:hAnsi="Arial" w:cs="Arial"/>
                <w:sz w:val="20"/>
                <w:szCs w:val="20"/>
              </w:rPr>
              <w:t>0 (0)</w:t>
            </w:r>
          </w:p>
        </w:tc>
      </w:tr>
      <w:tr w:rsidR="009A41C3" w:rsidRPr="009A41C3" w:rsidTr="00A73711">
        <w:tc>
          <w:tcPr>
            <w:tcW w:w="3994" w:type="dxa"/>
            <w:shd w:val="clear" w:color="auto" w:fill="auto"/>
          </w:tcPr>
          <w:p w:rsidR="009A41C3" w:rsidRPr="009A41C3" w:rsidRDefault="009A41C3" w:rsidP="009A41C3">
            <w:pPr>
              <w:numPr>
                <w:ilvl w:val="0"/>
                <w:numId w:val="6"/>
              </w:numPr>
              <w:autoSpaceDE w:val="0"/>
              <w:autoSpaceDN w:val="0"/>
              <w:adjustRightInd w:val="0"/>
              <w:spacing w:after="0" w:line="276" w:lineRule="auto"/>
              <w:jc w:val="both"/>
              <w:rPr>
                <w:rFonts w:ascii="Arial" w:hAnsi="Arial" w:cs="Arial"/>
                <w:sz w:val="20"/>
                <w:szCs w:val="20"/>
              </w:rPr>
            </w:pPr>
            <w:r w:rsidRPr="009A41C3">
              <w:rPr>
                <w:rFonts w:ascii="Arial" w:hAnsi="Arial" w:cs="Arial"/>
                <w:sz w:val="20"/>
                <w:szCs w:val="20"/>
              </w:rPr>
              <w:t>Problemas laborales</w:t>
            </w:r>
          </w:p>
        </w:tc>
        <w:tc>
          <w:tcPr>
            <w:tcW w:w="1459" w:type="dxa"/>
            <w:shd w:val="clear" w:color="auto" w:fill="auto"/>
          </w:tcPr>
          <w:p w:rsidR="009A41C3" w:rsidRPr="009A41C3" w:rsidRDefault="009A41C3" w:rsidP="009A41C3">
            <w:pPr>
              <w:autoSpaceDE w:val="0"/>
              <w:autoSpaceDN w:val="0"/>
              <w:adjustRightInd w:val="0"/>
              <w:spacing w:after="0"/>
              <w:jc w:val="both"/>
              <w:rPr>
                <w:rFonts w:ascii="Arial" w:hAnsi="Arial" w:cs="Arial"/>
                <w:sz w:val="20"/>
                <w:szCs w:val="20"/>
              </w:rPr>
            </w:pPr>
            <w:r w:rsidRPr="009A41C3">
              <w:rPr>
                <w:rFonts w:ascii="Arial" w:hAnsi="Arial" w:cs="Arial"/>
                <w:sz w:val="20"/>
                <w:szCs w:val="20"/>
              </w:rPr>
              <w:t>3 (13)</w:t>
            </w:r>
          </w:p>
        </w:tc>
        <w:tc>
          <w:tcPr>
            <w:tcW w:w="1601" w:type="dxa"/>
            <w:shd w:val="clear" w:color="auto" w:fill="auto"/>
          </w:tcPr>
          <w:p w:rsidR="009A41C3" w:rsidRPr="009A41C3" w:rsidDel="002864C4" w:rsidRDefault="009A41C3" w:rsidP="009A41C3">
            <w:pPr>
              <w:autoSpaceDE w:val="0"/>
              <w:autoSpaceDN w:val="0"/>
              <w:adjustRightInd w:val="0"/>
              <w:ind w:left="360"/>
              <w:jc w:val="both"/>
              <w:rPr>
                <w:rFonts w:ascii="Arial" w:hAnsi="Arial" w:cs="Arial"/>
                <w:sz w:val="20"/>
                <w:szCs w:val="20"/>
              </w:rPr>
            </w:pPr>
            <w:r w:rsidRPr="009A41C3">
              <w:rPr>
                <w:rFonts w:ascii="Arial" w:hAnsi="Arial" w:cs="Arial"/>
                <w:sz w:val="20"/>
                <w:szCs w:val="20"/>
              </w:rPr>
              <w:t>2 (13)</w:t>
            </w:r>
          </w:p>
        </w:tc>
      </w:tr>
      <w:tr w:rsidR="009A41C3" w:rsidRPr="009A41C3" w:rsidTr="00A73711">
        <w:tc>
          <w:tcPr>
            <w:tcW w:w="3994" w:type="dxa"/>
            <w:shd w:val="clear" w:color="auto" w:fill="auto"/>
          </w:tcPr>
          <w:p w:rsidR="009A41C3" w:rsidRPr="009A41C3" w:rsidRDefault="009A41C3" w:rsidP="009A41C3">
            <w:pPr>
              <w:numPr>
                <w:ilvl w:val="0"/>
                <w:numId w:val="6"/>
              </w:numPr>
              <w:autoSpaceDE w:val="0"/>
              <w:autoSpaceDN w:val="0"/>
              <w:adjustRightInd w:val="0"/>
              <w:spacing w:after="0" w:line="276" w:lineRule="auto"/>
              <w:jc w:val="both"/>
              <w:rPr>
                <w:rFonts w:ascii="Arial" w:hAnsi="Arial" w:cs="Arial"/>
                <w:sz w:val="20"/>
                <w:szCs w:val="20"/>
              </w:rPr>
            </w:pPr>
            <w:r w:rsidRPr="009A41C3">
              <w:rPr>
                <w:rFonts w:ascii="Arial" w:hAnsi="Arial" w:cs="Arial"/>
                <w:sz w:val="20"/>
                <w:szCs w:val="20"/>
              </w:rPr>
              <w:t>Abuso sexual</w:t>
            </w:r>
          </w:p>
        </w:tc>
        <w:tc>
          <w:tcPr>
            <w:tcW w:w="1459" w:type="dxa"/>
            <w:shd w:val="clear" w:color="auto" w:fill="auto"/>
          </w:tcPr>
          <w:p w:rsidR="009A41C3" w:rsidRPr="009A41C3" w:rsidRDefault="009A41C3" w:rsidP="009A41C3">
            <w:pPr>
              <w:autoSpaceDE w:val="0"/>
              <w:autoSpaceDN w:val="0"/>
              <w:adjustRightInd w:val="0"/>
              <w:spacing w:after="0"/>
              <w:jc w:val="both"/>
              <w:rPr>
                <w:rFonts w:ascii="Arial" w:hAnsi="Arial" w:cs="Arial"/>
                <w:sz w:val="20"/>
                <w:szCs w:val="20"/>
              </w:rPr>
            </w:pPr>
            <w:r w:rsidRPr="009A41C3">
              <w:rPr>
                <w:rFonts w:ascii="Arial" w:hAnsi="Arial" w:cs="Arial"/>
                <w:sz w:val="20"/>
                <w:szCs w:val="20"/>
              </w:rPr>
              <w:t>2 (9)</w:t>
            </w:r>
          </w:p>
        </w:tc>
        <w:tc>
          <w:tcPr>
            <w:tcW w:w="1601" w:type="dxa"/>
            <w:shd w:val="clear" w:color="auto" w:fill="auto"/>
          </w:tcPr>
          <w:p w:rsidR="009A41C3" w:rsidRPr="009A41C3" w:rsidDel="002864C4" w:rsidRDefault="009A41C3" w:rsidP="009A41C3">
            <w:pPr>
              <w:autoSpaceDE w:val="0"/>
              <w:autoSpaceDN w:val="0"/>
              <w:adjustRightInd w:val="0"/>
              <w:ind w:left="360"/>
              <w:jc w:val="both"/>
              <w:rPr>
                <w:rFonts w:ascii="Arial" w:hAnsi="Arial" w:cs="Arial"/>
                <w:sz w:val="20"/>
                <w:szCs w:val="20"/>
              </w:rPr>
            </w:pPr>
            <w:r w:rsidRPr="009A41C3">
              <w:rPr>
                <w:rFonts w:ascii="Arial" w:hAnsi="Arial" w:cs="Arial"/>
                <w:sz w:val="20"/>
                <w:szCs w:val="20"/>
              </w:rPr>
              <w:t>0 (0)</w:t>
            </w:r>
          </w:p>
        </w:tc>
      </w:tr>
      <w:tr w:rsidR="009A41C3" w:rsidRPr="009A41C3" w:rsidTr="00A73711">
        <w:tc>
          <w:tcPr>
            <w:tcW w:w="3994" w:type="dxa"/>
            <w:shd w:val="clear" w:color="auto" w:fill="auto"/>
          </w:tcPr>
          <w:p w:rsidR="009A41C3" w:rsidRPr="009A41C3" w:rsidRDefault="009A41C3" w:rsidP="009A41C3">
            <w:pPr>
              <w:numPr>
                <w:ilvl w:val="0"/>
                <w:numId w:val="6"/>
              </w:numPr>
              <w:autoSpaceDE w:val="0"/>
              <w:autoSpaceDN w:val="0"/>
              <w:adjustRightInd w:val="0"/>
              <w:spacing w:after="0" w:line="276" w:lineRule="auto"/>
              <w:jc w:val="both"/>
              <w:rPr>
                <w:rFonts w:ascii="Arial" w:hAnsi="Arial" w:cs="Arial"/>
                <w:sz w:val="20"/>
                <w:szCs w:val="20"/>
              </w:rPr>
            </w:pPr>
            <w:r w:rsidRPr="009A41C3">
              <w:rPr>
                <w:rFonts w:ascii="Arial" w:hAnsi="Arial" w:cs="Arial"/>
                <w:sz w:val="20"/>
                <w:szCs w:val="20"/>
              </w:rPr>
              <w:t>Acuso de Robo</w:t>
            </w:r>
          </w:p>
        </w:tc>
        <w:tc>
          <w:tcPr>
            <w:tcW w:w="1459" w:type="dxa"/>
            <w:shd w:val="clear" w:color="auto" w:fill="auto"/>
          </w:tcPr>
          <w:p w:rsidR="009A41C3" w:rsidRPr="009A41C3" w:rsidRDefault="009A41C3" w:rsidP="009A41C3">
            <w:pPr>
              <w:autoSpaceDE w:val="0"/>
              <w:autoSpaceDN w:val="0"/>
              <w:adjustRightInd w:val="0"/>
              <w:spacing w:after="0"/>
              <w:jc w:val="both"/>
              <w:rPr>
                <w:rFonts w:ascii="Arial" w:hAnsi="Arial" w:cs="Arial"/>
                <w:sz w:val="20"/>
                <w:szCs w:val="20"/>
              </w:rPr>
            </w:pPr>
            <w:r w:rsidRPr="009A41C3">
              <w:rPr>
                <w:rFonts w:ascii="Arial" w:hAnsi="Arial" w:cs="Arial"/>
                <w:sz w:val="20"/>
                <w:szCs w:val="20"/>
              </w:rPr>
              <w:t>1 (4)</w:t>
            </w:r>
          </w:p>
        </w:tc>
        <w:tc>
          <w:tcPr>
            <w:tcW w:w="1601" w:type="dxa"/>
            <w:shd w:val="clear" w:color="auto" w:fill="auto"/>
          </w:tcPr>
          <w:p w:rsidR="009A41C3" w:rsidRPr="009A41C3" w:rsidDel="002864C4" w:rsidRDefault="009A41C3" w:rsidP="009A41C3">
            <w:pPr>
              <w:autoSpaceDE w:val="0"/>
              <w:autoSpaceDN w:val="0"/>
              <w:adjustRightInd w:val="0"/>
              <w:ind w:left="360"/>
              <w:jc w:val="both"/>
              <w:rPr>
                <w:rFonts w:ascii="Arial" w:hAnsi="Arial" w:cs="Arial"/>
                <w:sz w:val="20"/>
                <w:szCs w:val="20"/>
              </w:rPr>
            </w:pPr>
            <w:r w:rsidRPr="009A41C3">
              <w:rPr>
                <w:rFonts w:ascii="Arial" w:hAnsi="Arial" w:cs="Arial"/>
                <w:sz w:val="20"/>
                <w:szCs w:val="20"/>
              </w:rPr>
              <w:t>0 (0)</w:t>
            </w:r>
          </w:p>
        </w:tc>
      </w:tr>
      <w:tr w:rsidR="009A41C3" w:rsidRPr="009A41C3" w:rsidTr="00A73711">
        <w:tc>
          <w:tcPr>
            <w:tcW w:w="3994" w:type="dxa"/>
            <w:shd w:val="clear" w:color="auto" w:fill="auto"/>
          </w:tcPr>
          <w:p w:rsidR="009A41C3" w:rsidRPr="009A41C3" w:rsidRDefault="009A41C3" w:rsidP="009A41C3">
            <w:pPr>
              <w:numPr>
                <w:ilvl w:val="0"/>
                <w:numId w:val="6"/>
              </w:numPr>
              <w:autoSpaceDE w:val="0"/>
              <w:autoSpaceDN w:val="0"/>
              <w:adjustRightInd w:val="0"/>
              <w:spacing w:after="0" w:line="276" w:lineRule="auto"/>
              <w:jc w:val="both"/>
              <w:rPr>
                <w:rFonts w:ascii="Arial" w:hAnsi="Arial" w:cs="Arial"/>
                <w:sz w:val="20"/>
                <w:szCs w:val="20"/>
              </w:rPr>
            </w:pPr>
            <w:r w:rsidRPr="009A41C3">
              <w:rPr>
                <w:rFonts w:ascii="Arial" w:hAnsi="Arial" w:cs="Arial"/>
                <w:sz w:val="20"/>
                <w:szCs w:val="20"/>
              </w:rPr>
              <w:t>Abuso físico</w:t>
            </w:r>
          </w:p>
        </w:tc>
        <w:tc>
          <w:tcPr>
            <w:tcW w:w="1459" w:type="dxa"/>
            <w:shd w:val="clear" w:color="auto" w:fill="auto"/>
          </w:tcPr>
          <w:p w:rsidR="009A41C3" w:rsidRPr="009A41C3" w:rsidRDefault="009A41C3" w:rsidP="009A41C3">
            <w:pPr>
              <w:autoSpaceDE w:val="0"/>
              <w:autoSpaceDN w:val="0"/>
              <w:adjustRightInd w:val="0"/>
              <w:spacing w:after="0"/>
              <w:jc w:val="both"/>
              <w:rPr>
                <w:rFonts w:ascii="Arial" w:hAnsi="Arial" w:cs="Arial"/>
                <w:sz w:val="20"/>
                <w:szCs w:val="20"/>
              </w:rPr>
            </w:pPr>
            <w:r w:rsidRPr="009A41C3">
              <w:rPr>
                <w:rFonts w:ascii="Arial" w:hAnsi="Arial" w:cs="Arial"/>
                <w:sz w:val="20"/>
                <w:szCs w:val="20"/>
              </w:rPr>
              <w:t>1 (4)</w:t>
            </w:r>
          </w:p>
        </w:tc>
        <w:tc>
          <w:tcPr>
            <w:tcW w:w="1601" w:type="dxa"/>
            <w:shd w:val="clear" w:color="auto" w:fill="auto"/>
          </w:tcPr>
          <w:p w:rsidR="009A41C3" w:rsidRPr="009A41C3" w:rsidDel="002864C4" w:rsidRDefault="009A41C3" w:rsidP="009A41C3">
            <w:pPr>
              <w:autoSpaceDE w:val="0"/>
              <w:autoSpaceDN w:val="0"/>
              <w:adjustRightInd w:val="0"/>
              <w:ind w:left="360"/>
              <w:jc w:val="both"/>
              <w:rPr>
                <w:rFonts w:ascii="Arial" w:hAnsi="Arial" w:cs="Arial"/>
                <w:sz w:val="20"/>
                <w:szCs w:val="20"/>
              </w:rPr>
            </w:pPr>
            <w:r w:rsidRPr="009A41C3">
              <w:rPr>
                <w:rFonts w:ascii="Arial" w:hAnsi="Arial" w:cs="Arial"/>
                <w:sz w:val="20"/>
                <w:szCs w:val="20"/>
              </w:rPr>
              <w:t>0 (0)</w:t>
            </w:r>
          </w:p>
        </w:tc>
      </w:tr>
      <w:tr w:rsidR="009A41C3" w:rsidRPr="009A41C3" w:rsidTr="00A73711">
        <w:tc>
          <w:tcPr>
            <w:tcW w:w="3994" w:type="dxa"/>
            <w:tcBorders>
              <w:bottom w:val="single" w:sz="4" w:space="0" w:color="000000"/>
            </w:tcBorders>
            <w:shd w:val="clear" w:color="auto" w:fill="auto"/>
          </w:tcPr>
          <w:p w:rsidR="009A41C3" w:rsidRPr="009A41C3" w:rsidRDefault="009A41C3" w:rsidP="009A41C3">
            <w:pPr>
              <w:numPr>
                <w:ilvl w:val="0"/>
                <w:numId w:val="6"/>
              </w:numPr>
              <w:autoSpaceDE w:val="0"/>
              <w:autoSpaceDN w:val="0"/>
              <w:adjustRightInd w:val="0"/>
              <w:spacing w:after="0" w:line="276" w:lineRule="auto"/>
              <w:jc w:val="both"/>
              <w:rPr>
                <w:rFonts w:ascii="Arial" w:hAnsi="Arial" w:cs="Arial"/>
                <w:sz w:val="20"/>
                <w:szCs w:val="20"/>
              </w:rPr>
            </w:pPr>
            <w:r w:rsidRPr="009A41C3">
              <w:rPr>
                <w:rFonts w:ascii="Arial" w:hAnsi="Arial" w:cs="Arial"/>
                <w:sz w:val="20"/>
                <w:szCs w:val="20"/>
              </w:rPr>
              <w:t>comunicación con la pareja</w:t>
            </w:r>
          </w:p>
        </w:tc>
        <w:tc>
          <w:tcPr>
            <w:tcW w:w="1459" w:type="dxa"/>
            <w:tcBorders>
              <w:bottom w:val="single" w:sz="4" w:space="0" w:color="000000"/>
            </w:tcBorders>
            <w:shd w:val="clear" w:color="auto" w:fill="auto"/>
          </w:tcPr>
          <w:p w:rsidR="009A41C3" w:rsidRPr="009A41C3" w:rsidRDefault="009A41C3" w:rsidP="009A41C3">
            <w:pPr>
              <w:autoSpaceDE w:val="0"/>
              <w:autoSpaceDN w:val="0"/>
              <w:adjustRightInd w:val="0"/>
              <w:spacing w:after="0"/>
              <w:jc w:val="both"/>
              <w:rPr>
                <w:rFonts w:ascii="Arial" w:hAnsi="Arial" w:cs="Arial"/>
                <w:sz w:val="20"/>
                <w:szCs w:val="20"/>
              </w:rPr>
            </w:pPr>
            <w:r w:rsidRPr="009A41C3">
              <w:rPr>
                <w:rFonts w:ascii="Arial" w:hAnsi="Arial" w:cs="Arial"/>
                <w:sz w:val="20"/>
                <w:szCs w:val="20"/>
              </w:rPr>
              <w:t>0 (0)</w:t>
            </w:r>
          </w:p>
        </w:tc>
        <w:tc>
          <w:tcPr>
            <w:tcW w:w="1601" w:type="dxa"/>
            <w:tcBorders>
              <w:bottom w:val="single" w:sz="4" w:space="0" w:color="000000"/>
            </w:tcBorders>
            <w:shd w:val="clear" w:color="auto" w:fill="auto"/>
          </w:tcPr>
          <w:p w:rsidR="009A41C3" w:rsidRPr="009A41C3" w:rsidDel="002864C4" w:rsidRDefault="009A41C3" w:rsidP="009A41C3">
            <w:pPr>
              <w:autoSpaceDE w:val="0"/>
              <w:autoSpaceDN w:val="0"/>
              <w:adjustRightInd w:val="0"/>
              <w:ind w:left="360"/>
              <w:jc w:val="both"/>
              <w:rPr>
                <w:rFonts w:ascii="Arial" w:hAnsi="Arial" w:cs="Arial"/>
                <w:sz w:val="20"/>
                <w:szCs w:val="20"/>
              </w:rPr>
            </w:pPr>
            <w:r w:rsidRPr="009A41C3">
              <w:rPr>
                <w:rFonts w:ascii="Arial" w:hAnsi="Arial" w:cs="Arial"/>
                <w:sz w:val="20"/>
                <w:szCs w:val="20"/>
              </w:rPr>
              <w:t>4 (33)</w:t>
            </w:r>
          </w:p>
        </w:tc>
      </w:tr>
    </w:tbl>
    <w:p w:rsidR="009A41C3" w:rsidRPr="009A41C3" w:rsidRDefault="009A41C3" w:rsidP="009A41C3">
      <w:pPr>
        <w:autoSpaceDE w:val="0"/>
        <w:autoSpaceDN w:val="0"/>
        <w:adjustRightInd w:val="0"/>
        <w:spacing w:after="0"/>
        <w:jc w:val="both"/>
        <w:rPr>
          <w:rFonts w:ascii="Arial" w:hAnsi="Arial" w:cs="Arial"/>
          <w:sz w:val="20"/>
          <w:szCs w:val="20"/>
        </w:rPr>
      </w:pPr>
      <w:r w:rsidRPr="009A41C3">
        <w:rPr>
          <w:rFonts w:ascii="Arial" w:hAnsi="Arial" w:cs="Arial"/>
          <w:sz w:val="20"/>
          <w:szCs w:val="20"/>
        </w:rPr>
        <w:t>Fuente: Entrevista estructurada. CPnE: Crisis psicógenas no epilépticas. CE: Crisis epilépticas.  Un paciente puede mencionar varios estresores.</w:t>
      </w:r>
    </w:p>
    <w:p w:rsidR="009A41C3" w:rsidRPr="009A41C3" w:rsidRDefault="009A41C3" w:rsidP="009A41C3">
      <w:pPr>
        <w:spacing w:after="0" w:line="240" w:lineRule="auto"/>
        <w:jc w:val="both"/>
        <w:rPr>
          <w:rFonts w:ascii="Arial" w:eastAsia="Calibri" w:hAnsi="Arial" w:cs="Arial"/>
          <w:b/>
          <w:sz w:val="20"/>
          <w:szCs w:val="20"/>
        </w:rPr>
      </w:pPr>
    </w:p>
    <w:p w:rsidR="009A41C3" w:rsidRDefault="009A41C3" w:rsidP="009A41C3">
      <w:pPr>
        <w:spacing w:after="0" w:line="240" w:lineRule="auto"/>
        <w:jc w:val="both"/>
        <w:rPr>
          <w:rFonts w:ascii="Arial" w:eastAsia="Calibri" w:hAnsi="Arial" w:cs="Arial"/>
          <w:b/>
          <w:sz w:val="20"/>
          <w:szCs w:val="20"/>
        </w:rPr>
      </w:pPr>
    </w:p>
    <w:p w:rsidR="00F95516" w:rsidRDefault="00F95516" w:rsidP="009A41C3">
      <w:pPr>
        <w:spacing w:after="0" w:line="240" w:lineRule="auto"/>
        <w:jc w:val="both"/>
        <w:rPr>
          <w:rFonts w:ascii="Arial" w:eastAsia="Calibri" w:hAnsi="Arial" w:cs="Arial"/>
          <w:b/>
          <w:sz w:val="20"/>
          <w:szCs w:val="20"/>
        </w:rPr>
      </w:pPr>
    </w:p>
    <w:p w:rsidR="00F95516" w:rsidRDefault="00F95516" w:rsidP="009A41C3">
      <w:pPr>
        <w:spacing w:after="0" w:line="240" w:lineRule="auto"/>
        <w:jc w:val="both"/>
        <w:rPr>
          <w:rFonts w:ascii="Arial" w:eastAsia="Calibri" w:hAnsi="Arial" w:cs="Arial"/>
          <w:b/>
          <w:sz w:val="20"/>
          <w:szCs w:val="20"/>
        </w:rPr>
      </w:pPr>
    </w:p>
    <w:p w:rsidR="00F95516" w:rsidRDefault="00F95516" w:rsidP="009A41C3">
      <w:pPr>
        <w:spacing w:after="0" w:line="240" w:lineRule="auto"/>
        <w:jc w:val="both"/>
        <w:rPr>
          <w:rFonts w:ascii="Arial" w:eastAsia="Calibri" w:hAnsi="Arial" w:cs="Arial"/>
          <w:b/>
          <w:sz w:val="20"/>
          <w:szCs w:val="20"/>
        </w:rPr>
      </w:pPr>
    </w:p>
    <w:p w:rsidR="00F95516" w:rsidRDefault="00F95516" w:rsidP="009A41C3">
      <w:pPr>
        <w:spacing w:after="0" w:line="240" w:lineRule="auto"/>
        <w:jc w:val="both"/>
        <w:rPr>
          <w:rFonts w:ascii="Arial" w:eastAsia="Calibri" w:hAnsi="Arial" w:cs="Arial"/>
          <w:b/>
          <w:sz w:val="20"/>
          <w:szCs w:val="20"/>
        </w:rPr>
      </w:pPr>
    </w:p>
    <w:p w:rsidR="00F95516" w:rsidRPr="009A41C3" w:rsidRDefault="00F95516" w:rsidP="009A41C3">
      <w:pPr>
        <w:spacing w:after="0" w:line="240" w:lineRule="auto"/>
        <w:jc w:val="both"/>
        <w:rPr>
          <w:rFonts w:ascii="Arial" w:eastAsia="Calibri" w:hAnsi="Arial" w:cs="Arial"/>
          <w:b/>
          <w:sz w:val="20"/>
          <w:szCs w:val="20"/>
        </w:rPr>
      </w:pPr>
    </w:p>
    <w:p w:rsidR="009A41C3" w:rsidRDefault="009A41C3" w:rsidP="009A41C3">
      <w:pPr>
        <w:spacing w:after="0" w:line="240" w:lineRule="auto"/>
        <w:jc w:val="both"/>
        <w:rPr>
          <w:rFonts w:ascii="Arial" w:eastAsia="Calibri" w:hAnsi="Arial" w:cs="Arial"/>
          <w:b/>
          <w:sz w:val="20"/>
          <w:szCs w:val="20"/>
        </w:rPr>
      </w:pPr>
    </w:p>
    <w:p w:rsidR="009F221F" w:rsidRDefault="009F221F" w:rsidP="009A41C3">
      <w:pPr>
        <w:spacing w:after="0" w:line="240" w:lineRule="auto"/>
        <w:jc w:val="both"/>
        <w:rPr>
          <w:rFonts w:ascii="Arial" w:eastAsia="Calibri" w:hAnsi="Arial" w:cs="Arial"/>
          <w:b/>
          <w:sz w:val="20"/>
          <w:szCs w:val="20"/>
        </w:rPr>
      </w:pPr>
    </w:p>
    <w:p w:rsidR="009F221F" w:rsidRDefault="009F221F" w:rsidP="009A41C3">
      <w:pPr>
        <w:spacing w:after="0" w:line="240" w:lineRule="auto"/>
        <w:jc w:val="both"/>
        <w:rPr>
          <w:rFonts w:ascii="Arial" w:eastAsia="Calibri" w:hAnsi="Arial" w:cs="Arial"/>
          <w:b/>
          <w:sz w:val="20"/>
          <w:szCs w:val="20"/>
        </w:rPr>
      </w:pPr>
    </w:p>
    <w:p w:rsidR="009F221F" w:rsidRDefault="009F221F" w:rsidP="009A41C3">
      <w:pPr>
        <w:spacing w:after="0" w:line="240" w:lineRule="auto"/>
        <w:jc w:val="both"/>
        <w:rPr>
          <w:rFonts w:ascii="Arial" w:eastAsia="Calibri" w:hAnsi="Arial" w:cs="Arial"/>
          <w:b/>
          <w:sz w:val="20"/>
          <w:szCs w:val="20"/>
        </w:rPr>
      </w:pPr>
    </w:p>
    <w:p w:rsidR="009F221F" w:rsidRDefault="009F221F" w:rsidP="009A41C3">
      <w:pPr>
        <w:spacing w:after="0" w:line="240" w:lineRule="auto"/>
        <w:jc w:val="both"/>
        <w:rPr>
          <w:rFonts w:ascii="Arial" w:eastAsia="Calibri" w:hAnsi="Arial" w:cs="Arial"/>
          <w:b/>
          <w:sz w:val="20"/>
          <w:szCs w:val="20"/>
        </w:rPr>
      </w:pPr>
    </w:p>
    <w:p w:rsidR="009F221F" w:rsidRDefault="009F221F" w:rsidP="009A41C3">
      <w:pPr>
        <w:spacing w:after="0" w:line="240" w:lineRule="auto"/>
        <w:jc w:val="both"/>
        <w:rPr>
          <w:rFonts w:ascii="Arial" w:eastAsia="Calibri" w:hAnsi="Arial" w:cs="Arial"/>
          <w:b/>
          <w:sz w:val="20"/>
          <w:szCs w:val="20"/>
        </w:rPr>
      </w:pPr>
    </w:p>
    <w:p w:rsidR="009F221F" w:rsidRDefault="009F221F" w:rsidP="009A41C3">
      <w:pPr>
        <w:spacing w:after="0" w:line="240" w:lineRule="auto"/>
        <w:jc w:val="both"/>
        <w:rPr>
          <w:rFonts w:ascii="Arial" w:eastAsia="Calibri" w:hAnsi="Arial" w:cs="Arial"/>
          <w:b/>
          <w:sz w:val="20"/>
          <w:szCs w:val="20"/>
        </w:rPr>
      </w:pPr>
    </w:p>
    <w:p w:rsidR="009F221F" w:rsidRDefault="009F221F" w:rsidP="009A41C3">
      <w:pPr>
        <w:spacing w:after="0" w:line="240" w:lineRule="auto"/>
        <w:jc w:val="both"/>
        <w:rPr>
          <w:rFonts w:ascii="Arial" w:eastAsia="Calibri" w:hAnsi="Arial" w:cs="Arial"/>
          <w:b/>
          <w:sz w:val="20"/>
          <w:szCs w:val="20"/>
        </w:rPr>
      </w:pPr>
    </w:p>
    <w:p w:rsidR="009F221F" w:rsidRDefault="009F221F" w:rsidP="009A41C3">
      <w:pPr>
        <w:spacing w:after="0" w:line="240" w:lineRule="auto"/>
        <w:jc w:val="both"/>
        <w:rPr>
          <w:rFonts w:ascii="Arial" w:eastAsia="Calibri" w:hAnsi="Arial" w:cs="Arial"/>
          <w:b/>
          <w:sz w:val="20"/>
          <w:szCs w:val="20"/>
        </w:rPr>
      </w:pPr>
    </w:p>
    <w:p w:rsidR="009F221F" w:rsidRDefault="009F221F" w:rsidP="009A41C3">
      <w:pPr>
        <w:spacing w:after="0" w:line="240" w:lineRule="auto"/>
        <w:jc w:val="both"/>
        <w:rPr>
          <w:rFonts w:ascii="Arial" w:eastAsia="Calibri" w:hAnsi="Arial" w:cs="Arial"/>
          <w:b/>
          <w:sz w:val="20"/>
          <w:szCs w:val="20"/>
        </w:rPr>
      </w:pPr>
    </w:p>
    <w:p w:rsidR="009F221F" w:rsidRDefault="009F221F" w:rsidP="009A41C3">
      <w:pPr>
        <w:spacing w:after="0" w:line="240" w:lineRule="auto"/>
        <w:jc w:val="both"/>
        <w:rPr>
          <w:rFonts w:ascii="Arial" w:eastAsia="Calibri" w:hAnsi="Arial" w:cs="Arial"/>
          <w:b/>
          <w:sz w:val="20"/>
          <w:szCs w:val="20"/>
        </w:rPr>
      </w:pPr>
    </w:p>
    <w:p w:rsidR="009F221F" w:rsidRDefault="009F221F" w:rsidP="009A41C3">
      <w:pPr>
        <w:spacing w:after="0" w:line="240" w:lineRule="auto"/>
        <w:jc w:val="both"/>
        <w:rPr>
          <w:rFonts w:ascii="Arial" w:eastAsia="Calibri" w:hAnsi="Arial" w:cs="Arial"/>
          <w:b/>
          <w:sz w:val="20"/>
          <w:szCs w:val="20"/>
        </w:rPr>
      </w:pPr>
    </w:p>
    <w:p w:rsidR="0015374A" w:rsidRDefault="0015374A" w:rsidP="009A41C3">
      <w:pPr>
        <w:spacing w:after="0" w:line="240" w:lineRule="auto"/>
        <w:jc w:val="both"/>
        <w:rPr>
          <w:rFonts w:ascii="Arial" w:eastAsia="Calibri" w:hAnsi="Arial" w:cs="Arial"/>
          <w:b/>
          <w:sz w:val="20"/>
          <w:szCs w:val="20"/>
        </w:rPr>
      </w:pPr>
    </w:p>
    <w:p w:rsidR="0015374A" w:rsidRDefault="0015374A" w:rsidP="009A41C3">
      <w:pPr>
        <w:spacing w:after="0" w:line="240" w:lineRule="auto"/>
        <w:jc w:val="both"/>
        <w:rPr>
          <w:rFonts w:ascii="Arial" w:eastAsia="Calibri" w:hAnsi="Arial" w:cs="Arial"/>
          <w:b/>
          <w:sz w:val="20"/>
          <w:szCs w:val="20"/>
        </w:rPr>
      </w:pPr>
    </w:p>
    <w:p w:rsidR="0015374A" w:rsidRDefault="0015374A" w:rsidP="009A41C3">
      <w:pPr>
        <w:spacing w:after="0" w:line="240" w:lineRule="auto"/>
        <w:jc w:val="both"/>
        <w:rPr>
          <w:rFonts w:ascii="Arial" w:eastAsia="Calibri" w:hAnsi="Arial" w:cs="Arial"/>
          <w:b/>
          <w:sz w:val="20"/>
          <w:szCs w:val="20"/>
        </w:rPr>
      </w:pPr>
    </w:p>
    <w:p w:rsidR="009F221F" w:rsidRDefault="009F221F" w:rsidP="009A41C3">
      <w:pPr>
        <w:spacing w:after="0" w:line="240" w:lineRule="auto"/>
        <w:jc w:val="both"/>
        <w:rPr>
          <w:rFonts w:ascii="Arial" w:eastAsia="Calibri" w:hAnsi="Arial" w:cs="Arial"/>
          <w:b/>
          <w:sz w:val="20"/>
          <w:szCs w:val="20"/>
        </w:rPr>
      </w:pPr>
    </w:p>
    <w:p w:rsidR="009F221F" w:rsidRDefault="009F221F" w:rsidP="009A41C3">
      <w:pPr>
        <w:spacing w:after="0" w:line="240" w:lineRule="auto"/>
        <w:jc w:val="both"/>
        <w:rPr>
          <w:rFonts w:ascii="Arial" w:eastAsia="Calibri" w:hAnsi="Arial" w:cs="Arial"/>
          <w:b/>
          <w:sz w:val="20"/>
          <w:szCs w:val="20"/>
        </w:rPr>
      </w:pPr>
    </w:p>
    <w:p w:rsidR="009F221F" w:rsidRPr="009A41C3" w:rsidRDefault="009F221F" w:rsidP="009A41C3">
      <w:pPr>
        <w:spacing w:after="0" w:line="240" w:lineRule="auto"/>
        <w:jc w:val="both"/>
        <w:rPr>
          <w:rFonts w:ascii="Arial" w:eastAsia="Calibri" w:hAnsi="Arial" w:cs="Arial"/>
          <w:b/>
          <w:sz w:val="20"/>
          <w:szCs w:val="20"/>
        </w:rPr>
      </w:pPr>
    </w:p>
    <w:p w:rsidR="009A41C3" w:rsidRPr="009A41C3" w:rsidRDefault="009A41C3" w:rsidP="009A41C3">
      <w:pPr>
        <w:pStyle w:val="Ttulo3"/>
        <w:framePr w:wrap="notBeside"/>
        <w:shd w:val="clear" w:color="auto" w:fill="F2F2F2" w:themeFill="background1" w:themeFillShade="F2"/>
        <w:jc w:val="both"/>
        <w:rPr>
          <w:rFonts w:cs="Arial"/>
          <w:szCs w:val="20"/>
        </w:rPr>
      </w:pPr>
    </w:p>
    <w:p w:rsidR="00996307" w:rsidRPr="009A41C3" w:rsidRDefault="00996307" w:rsidP="009A41C3">
      <w:pPr>
        <w:pStyle w:val="Ttulo3"/>
        <w:framePr w:wrap="notBeside"/>
        <w:shd w:val="clear" w:color="auto" w:fill="F2F2F2" w:themeFill="background1" w:themeFillShade="F2"/>
        <w:jc w:val="both"/>
        <w:rPr>
          <w:rFonts w:cs="Arial"/>
          <w:szCs w:val="20"/>
        </w:rPr>
      </w:pPr>
      <w:r w:rsidRPr="009A41C3">
        <w:rPr>
          <w:rFonts w:cs="Arial"/>
          <w:szCs w:val="20"/>
        </w:rPr>
        <w:t>Tabla 3.</w:t>
      </w:r>
    </w:p>
    <w:p w:rsidR="00996307" w:rsidRPr="009A41C3" w:rsidRDefault="00996307" w:rsidP="009A41C3">
      <w:pPr>
        <w:pStyle w:val="Sinespaciado"/>
        <w:jc w:val="both"/>
        <w:rPr>
          <w:rFonts w:cs="Arial"/>
          <w:szCs w:val="20"/>
        </w:rPr>
      </w:pPr>
    </w:p>
    <w:p w:rsidR="009A41C3" w:rsidRPr="009A41C3" w:rsidRDefault="009A41C3" w:rsidP="009A41C3">
      <w:pPr>
        <w:autoSpaceDE w:val="0"/>
        <w:autoSpaceDN w:val="0"/>
        <w:adjustRightInd w:val="0"/>
        <w:spacing w:after="0"/>
        <w:jc w:val="both"/>
        <w:rPr>
          <w:rFonts w:ascii="Arial" w:hAnsi="Arial" w:cs="Arial"/>
          <w:sz w:val="20"/>
          <w:szCs w:val="20"/>
        </w:rPr>
      </w:pPr>
      <w:r w:rsidRPr="009A41C3">
        <w:rPr>
          <w:rFonts w:ascii="Arial" w:hAnsi="Arial" w:cs="Arial"/>
          <w:sz w:val="20"/>
          <w:szCs w:val="20"/>
        </w:rPr>
        <w:t>Tabla 3. Comportamiento de la ansiedad y depresión en los pacientes con CPnE y CE.</w:t>
      </w:r>
    </w:p>
    <w:p w:rsidR="009A41C3" w:rsidRPr="009A41C3" w:rsidRDefault="009A41C3" w:rsidP="009A41C3">
      <w:pPr>
        <w:autoSpaceDE w:val="0"/>
        <w:autoSpaceDN w:val="0"/>
        <w:adjustRightInd w:val="0"/>
        <w:spacing w:after="0"/>
        <w:jc w:val="both"/>
        <w:rPr>
          <w:rFonts w:ascii="Arial" w:hAnsi="Arial" w:cs="Arial"/>
          <w:sz w:val="20"/>
          <w:szCs w:val="20"/>
        </w:rPr>
      </w:pPr>
    </w:p>
    <w:tbl>
      <w:tblPr>
        <w:tblW w:w="10018" w:type="dxa"/>
        <w:tblInd w:w="-585" w:type="dxa"/>
        <w:tblBorders>
          <w:top w:val="single" w:sz="4" w:space="0" w:color="000000"/>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6"/>
        <w:gridCol w:w="1385"/>
        <w:gridCol w:w="1428"/>
        <w:gridCol w:w="1269"/>
        <w:gridCol w:w="1478"/>
        <w:gridCol w:w="1328"/>
        <w:gridCol w:w="1594"/>
      </w:tblGrid>
      <w:tr w:rsidR="009A41C3" w:rsidRPr="009A41C3" w:rsidTr="00A73711">
        <w:trPr>
          <w:trHeight w:val="640"/>
        </w:trPr>
        <w:tc>
          <w:tcPr>
            <w:tcW w:w="1536" w:type="dxa"/>
            <w:vMerge w:val="restart"/>
            <w:tcBorders>
              <w:top w:val="single" w:sz="4" w:space="0" w:color="000000"/>
              <w:bottom w:val="nil"/>
              <w:right w:val="nil"/>
            </w:tcBorders>
            <w:shd w:val="clear" w:color="auto" w:fill="auto"/>
          </w:tcPr>
          <w:p w:rsidR="009A41C3" w:rsidRPr="009A41C3" w:rsidRDefault="009A41C3" w:rsidP="009A41C3">
            <w:pPr>
              <w:tabs>
                <w:tab w:val="left" w:pos="1592"/>
              </w:tabs>
              <w:ind w:left="360"/>
              <w:jc w:val="both"/>
              <w:rPr>
                <w:rFonts w:ascii="Arial" w:hAnsi="Arial" w:cs="Arial"/>
                <w:b/>
                <w:sz w:val="20"/>
                <w:szCs w:val="20"/>
              </w:rPr>
            </w:pPr>
            <w:r w:rsidRPr="009A41C3">
              <w:rPr>
                <w:rFonts w:ascii="Arial" w:hAnsi="Arial" w:cs="Arial"/>
                <w:b/>
                <w:sz w:val="20"/>
                <w:szCs w:val="20"/>
              </w:rPr>
              <w:t>Diagnostico</w:t>
            </w:r>
          </w:p>
        </w:tc>
        <w:tc>
          <w:tcPr>
            <w:tcW w:w="2813" w:type="dxa"/>
            <w:gridSpan w:val="2"/>
            <w:tcBorders>
              <w:top w:val="single" w:sz="4" w:space="0" w:color="000000"/>
              <w:left w:val="nil"/>
              <w:bottom w:val="nil"/>
              <w:right w:val="nil"/>
            </w:tcBorders>
            <w:shd w:val="clear" w:color="auto" w:fill="auto"/>
          </w:tcPr>
          <w:p w:rsidR="009A41C3" w:rsidRPr="009A41C3" w:rsidRDefault="009A41C3" w:rsidP="009A41C3">
            <w:pPr>
              <w:tabs>
                <w:tab w:val="left" w:pos="1592"/>
              </w:tabs>
              <w:ind w:left="360"/>
              <w:jc w:val="both"/>
              <w:rPr>
                <w:rFonts w:ascii="Arial" w:hAnsi="Arial" w:cs="Arial"/>
                <w:b/>
                <w:sz w:val="20"/>
                <w:szCs w:val="20"/>
              </w:rPr>
            </w:pPr>
            <w:r w:rsidRPr="009A41C3">
              <w:rPr>
                <w:rFonts w:ascii="Arial" w:hAnsi="Arial" w:cs="Arial"/>
                <w:b/>
                <w:sz w:val="20"/>
                <w:szCs w:val="20"/>
              </w:rPr>
              <w:t>GAD-7</w:t>
            </w:r>
          </w:p>
        </w:tc>
        <w:tc>
          <w:tcPr>
            <w:tcW w:w="1269" w:type="dxa"/>
            <w:tcBorders>
              <w:top w:val="single" w:sz="4" w:space="0" w:color="000000"/>
              <w:left w:val="nil"/>
              <w:bottom w:val="nil"/>
              <w:right w:val="nil"/>
            </w:tcBorders>
          </w:tcPr>
          <w:p w:rsidR="009A41C3" w:rsidRPr="009A41C3" w:rsidRDefault="009A41C3" w:rsidP="009A41C3">
            <w:pPr>
              <w:tabs>
                <w:tab w:val="left" w:pos="1592"/>
              </w:tabs>
              <w:ind w:left="360"/>
              <w:jc w:val="both"/>
              <w:rPr>
                <w:rFonts w:ascii="Arial" w:hAnsi="Arial" w:cs="Arial"/>
                <w:b/>
                <w:sz w:val="20"/>
                <w:szCs w:val="20"/>
              </w:rPr>
            </w:pPr>
            <w:r w:rsidRPr="009A41C3">
              <w:rPr>
                <w:rFonts w:ascii="Arial" w:hAnsi="Arial" w:cs="Arial"/>
                <w:b/>
                <w:sz w:val="20"/>
                <w:szCs w:val="20"/>
              </w:rPr>
              <w:t>Valor de p 2</w:t>
            </w:r>
          </w:p>
        </w:tc>
        <w:tc>
          <w:tcPr>
            <w:tcW w:w="2806" w:type="dxa"/>
            <w:gridSpan w:val="2"/>
            <w:tcBorders>
              <w:top w:val="single" w:sz="4" w:space="0" w:color="000000"/>
              <w:left w:val="nil"/>
              <w:bottom w:val="nil"/>
              <w:right w:val="nil"/>
            </w:tcBorders>
            <w:shd w:val="clear" w:color="auto" w:fill="auto"/>
          </w:tcPr>
          <w:p w:rsidR="009A41C3" w:rsidRPr="009A41C3" w:rsidRDefault="009A41C3" w:rsidP="009A41C3">
            <w:pPr>
              <w:tabs>
                <w:tab w:val="left" w:pos="1592"/>
              </w:tabs>
              <w:ind w:left="360"/>
              <w:jc w:val="both"/>
              <w:rPr>
                <w:rFonts w:ascii="Arial" w:hAnsi="Arial" w:cs="Arial"/>
                <w:b/>
                <w:sz w:val="20"/>
                <w:szCs w:val="20"/>
              </w:rPr>
            </w:pPr>
            <w:r w:rsidRPr="009A41C3">
              <w:rPr>
                <w:rFonts w:ascii="Arial" w:hAnsi="Arial" w:cs="Arial"/>
                <w:b/>
                <w:sz w:val="20"/>
                <w:szCs w:val="20"/>
              </w:rPr>
              <w:t>NDDI-E</w:t>
            </w:r>
          </w:p>
        </w:tc>
        <w:tc>
          <w:tcPr>
            <w:tcW w:w="1594" w:type="dxa"/>
            <w:vMerge w:val="restart"/>
            <w:tcBorders>
              <w:top w:val="single" w:sz="4" w:space="0" w:color="000000"/>
              <w:left w:val="nil"/>
              <w:bottom w:val="nil"/>
              <w:right w:val="nil"/>
            </w:tcBorders>
            <w:shd w:val="clear" w:color="auto" w:fill="auto"/>
          </w:tcPr>
          <w:p w:rsidR="009A41C3" w:rsidRPr="009A41C3" w:rsidRDefault="009A41C3" w:rsidP="009A41C3">
            <w:pPr>
              <w:tabs>
                <w:tab w:val="left" w:pos="1592"/>
              </w:tabs>
              <w:ind w:left="360"/>
              <w:jc w:val="both"/>
              <w:rPr>
                <w:rFonts w:ascii="Arial" w:hAnsi="Arial" w:cs="Arial"/>
                <w:b/>
                <w:sz w:val="20"/>
                <w:szCs w:val="20"/>
              </w:rPr>
            </w:pPr>
            <w:r w:rsidRPr="009A41C3">
              <w:rPr>
                <w:rFonts w:ascii="Arial" w:hAnsi="Arial" w:cs="Arial"/>
                <w:b/>
                <w:sz w:val="20"/>
                <w:szCs w:val="20"/>
              </w:rPr>
              <w:t>Valor de p  2</w:t>
            </w:r>
          </w:p>
        </w:tc>
      </w:tr>
      <w:tr w:rsidR="009A41C3" w:rsidRPr="009A41C3" w:rsidTr="00A73711">
        <w:trPr>
          <w:trHeight w:val="144"/>
        </w:trPr>
        <w:tc>
          <w:tcPr>
            <w:tcW w:w="1536" w:type="dxa"/>
            <w:vMerge/>
            <w:tcBorders>
              <w:top w:val="nil"/>
              <w:bottom w:val="single" w:sz="4" w:space="0" w:color="000000"/>
              <w:right w:val="nil"/>
            </w:tcBorders>
            <w:shd w:val="clear" w:color="auto" w:fill="auto"/>
          </w:tcPr>
          <w:p w:rsidR="009A41C3" w:rsidRPr="009A41C3" w:rsidRDefault="009A41C3" w:rsidP="009A41C3">
            <w:pPr>
              <w:tabs>
                <w:tab w:val="left" w:pos="1592"/>
              </w:tabs>
              <w:ind w:left="360"/>
              <w:jc w:val="both"/>
              <w:rPr>
                <w:rFonts w:ascii="Arial" w:hAnsi="Arial" w:cs="Arial"/>
                <w:b/>
                <w:sz w:val="20"/>
                <w:szCs w:val="20"/>
              </w:rPr>
            </w:pPr>
          </w:p>
        </w:tc>
        <w:tc>
          <w:tcPr>
            <w:tcW w:w="1385" w:type="dxa"/>
            <w:tcBorders>
              <w:top w:val="nil"/>
              <w:left w:val="nil"/>
              <w:bottom w:val="single" w:sz="4" w:space="0" w:color="000000"/>
              <w:right w:val="nil"/>
            </w:tcBorders>
            <w:shd w:val="clear" w:color="auto" w:fill="auto"/>
          </w:tcPr>
          <w:p w:rsidR="009A41C3" w:rsidRPr="009A41C3" w:rsidRDefault="009A41C3" w:rsidP="009A41C3">
            <w:pPr>
              <w:tabs>
                <w:tab w:val="left" w:pos="1592"/>
              </w:tabs>
              <w:ind w:left="360"/>
              <w:jc w:val="both"/>
              <w:rPr>
                <w:rFonts w:ascii="Arial" w:hAnsi="Arial" w:cs="Arial"/>
                <w:b/>
                <w:sz w:val="20"/>
                <w:szCs w:val="20"/>
              </w:rPr>
            </w:pPr>
            <w:r w:rsidRPr="009A41C3">
              <w:rPr>
                <w:rFonts w:ascii="Arial" w:hAnsi="Arial" w:cs="Arial"/>
                <w:b/>
                <w:sz w:val="20"/>
                <w:szCs w:val="20"/>
              </w:rPr>
              <w:t>&lt;10</w:t>
            </w:r>
          </w:p>
        </w:tc>
        <w:tc>
          <w:tcPr>
            <w:tcW w:w="1428" w:type="dxa"/>
            <w:tcBorders>
              <w:top w:val="nil"/>
              <w:left w:val="nil"/>
              <w:bottom w:val="single" w:sz="4" w:space="0" w:color="000000"/>
              <w:right w:val="nil"/>
            </w:tcBorders>
            <w:shd w:val="clear" w:color="auto" w:fill="auto"/>
          </w:tcPr>
          <w:p w:rsidR="009A41C3" w:rsidRPr="009A41C3" w:rsidRDefault="009A41C3" w:rsidP="009A41C3">
            <w:pPr>
              <w:tabs>
                <w:tab w:val="left" w:pos="1592"/>
              </w:tabs>
              <w:ind w:left="360"/>
              <w:jc w:val="both"/>
              <w:rPr>
                <w:rFonts w:ascii="Arial" w:hAnsi="Arial" w:cs="Arial"/>
                <w:b/>
                <w:sz w:val="20"/>
                <w:szCs w:val="20"/>
              </w:rPr>
            </w:pPr>
            <w:r w:rsidRPr="009A41C3">
              <w:rPr>
                <w:rFonts w:ascii="Arial" w:hAnsi="Arial" w:cs="Arial"/>
                <w:b/>
                <w:sz w:val="20"/>
                <w:szCs w:val="20"/>
              </w:rPr>
              <w:t>≥10</w:t>
            </w:r>
          </w:p>
        </w:tc>
        <w:tc>
          <w:tcPr>
            <w:tcW w:w="1269" w:type="dxa"/>
            <w:tcBorders>
              <w:top w:val="nil"/>
              <w:left w:val="nil"/>
              <w:bottom w:val="single" w:sz="4" w:space="0" w:color="000000"/>
              <w:right w:val="nil"/>
            </w:tcBorders>
          </w:tcPr>
          <w:p w:rsidR="009A41C3" w:rsidRPr="009A41C3" w:rsidRDefault="009A41C3" w:rsidP="009A41C3">
            <w:pPr>
              <w:ind w:left="360"/>
              <w:jc w:val="both"/>
              <w:rPr>
                <w:rFonts w:ascii="Arial" w:hAnsi="Arial" w:cs="Arial"/>
                <w:b/>
                <w:sz w:val="20"/>
                <w:szCs w:val="20"/>
              </w:rPr>
            </w:pPr>
          </w:p>
        </w:tc>
        <w:tc>
          <w:tcPr>
            <w:tcW w:w="1478" w:type="dxa"/>
            <w:tcBorders>
              <w:top w:val="nil"/>
              <w:left w:val="nil"/>
              <w:bottom w:val="single" w:sz="4" w:space="0" w:color="000000"/>
              <w:right w:val="nil"/>
            </w:tcBorders>
            <w:shd w:val="clear" w:color="auto" w:fill="auto"/>
          </w:tcPr>
          <w:p w:rsidR="009A41C3" w:rsidRPr="009A41C3" w:rsidRDefault="009A41C3" w:rsidP="009A41C3">
            <w:pPr>
              <w:ind w:left="360"/>
              <w:jc w:val="both"/>
              <w:rPr>
                <w:rFonts w:ascii="Arial" w:hAnsi="Arial" w:cs="Arial"/>
                <w:b/>
                <w:sz w:val="20"/>
                <w:szCs w:val="20"/>
              </w:rPr>
            </w:pPr>
            <w:r w:rsidRPr="009A41C3">
              <w:rPr>
                <w:rFonts w:ascii="Arial" w:hAnsi="Arial" w:cs="Arial"/>
                <w:b/>
                <w:sz w:val="20"/>
                <w:szCs w:val="20"/>
              </w:rPr>
              <w:t>&lt;15</w:t>
            </w:r>
          </w:p>
        </w:tc>
        <w:tc>
          <w:tcPr>
            <w:tcW w:w="1328" w:type="dxa"/>
            <w:tcBorders>
              <w:top w:val="nil"/>
              <w:left w:val="nil"/>
              <w:bottom w:val="single" w:sz="4" w:space="0" w:color="000000"/>
              <w:right w:val="nil"/>
            </w:tcBorders>
            <w:shd w:val="clear" w:color="auto" w:fill="auto"/>
          </w:tcPr>
          <w:p w:rsidR="009A41C3" w:rsidRPr="009A41C3" w:rsidRDefault="009A41C3" w:rsidP="009A41C3">
            <w:pPr>
              <w:ind w:left="360"/>
              <w:jc w:val="both"/>
              <w:rPr>
                <w:rFonts w:ascii="Arial" w:hAnsi="Arial" w:cs="Arial"/>
                <w:b/>
                <w:sz w:val="20"/>
                <w:szCs w:val="20"/>
              </w:rPr>
            </w:pPr>
            <w:r w:rsidRPr="009A41C3">
              <w:rPr>
                <w:rFonts w:ascii="Arial" w:hAnsi="Arial" w:cs="Arial"/>
                <w:b/>
                <w:sz w:val="20"/>
                <w:szCs w:val="20"/>
              </w:rPr>
              <w:t>≥15</w:t>
            </w:r>
          </w:p>
        </w:tc>
        <w:tc>
          <w:tcPr>
            <w:tcW w:w="1594" w:type="dxa"/>
            <w:vMerge/>
            <w:tcBorders>
              <w:top w:val="nil"/>
              <w:left w:val="nil"/>
              <w:bottom w:val="single" w:sz="4" w:space="0" w:color="000000"/>
              <w:right w:val="nil"/>
            </w:tcBorders>
            <w:shd w:val="clear" w:color="auto" w:fill="auto"/>
          </w:tcPr>
          <w:p w:rsidR="009A41C3" w:rsidRPr="009A41C3" w:rsidRDefault="009A41C3" w:rsidP="009A41C3">
            <w:pPr>
              <w:tabs>
                <w:tab w:val="left" w:pos="1592"/>
              </w:tabs>
              <w:ind w:left="360"/>
              <w:jc w:val="both"/>
              <w:rPr>
                <w:rFonts w:ascii="Arial" w:hAnsi="Arial" w:cs="Arial"/>
                <w:sz w:val="20"/>
                <w:szCs w:val="20"/>
              </w:rPr>
            </w:pPr>
          </w:p>
        </w:tc>
      </w:tr>
      <w:tr w:rsidR="009A41C3" w:rsidRPr="009A41C3" w:rsidTr="00A73711">
        <w:trPr>
          <w:trHeight w:val="300"/>
        </w:trPr>
        <w:tc>
          <w:tcPr>
            <w:tcW w:w="1536" w:type="dxa"/>
            <w:tcBorders>
              <w:top w:val="single" w:sz="4" w:space="0" w:color="000000"/>
              <w:bottom w:val="nil"/>
              <w:right w:val="nil"/>
            </w:tcBorders>
            <w:shd w:val="clear" w:color="auto" w:fill="auto"/>
          </w:tcPr>
          <w:p w:rsidR="009A41C3" w:rsidRPr="009A41C3" w:rsidRDefault="009A41C3" w:rsidP="009A41C3">
            <w:pPr>
              <w:tabs>
                <w:tab w:val="left" w:pos="1592"/>
              </w:tabs>
              <w:ind w:left="360"/>
              <w:jc w:val="both"/>
              <w:rPr>
                <w:rFonts w:ascii="Arial" w:hAnsi="Arial" w:cs="Arial"/>
                <w:b/>
                <w:sz w:val="20"/>
                <w:szCs w:val="20"/>
              </w:rPr>
            </w:pPr>
            <w:r w:rsidRPr="009A41C3">
              <w:rPr>
                <w:rFonts w:ascii="Arial" w:hAnsi="Arial" w:cs="Arial"/>
                <w:b/>
                <w:sz w:val="20"/>
                <w:szCs w:val="20"/>
              </w:rPr>
              <w:t>CPnE</w:t>
            </w:r>
          </w:p>
        </w:tc>
        <w:tc>
          <w:tcPr>
            <w:tcW w:w="1385" w:type="dxa"/>
            <w:tcBorders>
              <w:top w:val="single" w:sz="4" w:space="0" w:color="000000"/>
              <w:left w:val="nil"/>
              <w:bottom w:val="nil"/>
              <w:right w:val="nil"/>
            </w:tcBorders>
            <w:shd w:val="clear" w:color="auto" w:fill="auto"/>
          </w:tcPr>
          <w:p w:rsidR="009A41C3" w:rsidRPr="009A41C3" w:rsidRDefault="009A41C3" w:rsidP="009F221F">
            <w:pPr>
              <w:tabs>
                <w:tab w:val="left" w:pos="1592"/>
              </w:tabs>
              <w:ind w:left="360"/>
              <w:jc w:val="both"/>
              <w:rPr>
                <w:rFonts w:ascii="Arial" w:hAnsi="Arial" w:cs="Arial"/>
                <w:sz w:val="20"/>
                <w:szCs w:val="20"/>
              </w:rPr>
            </w:pPr>
            <w:r w:rsidRPr="009A41C3">
              <w:rPr>
                <w:rFonts w:ascii="Arial" w:hAnsi="Arial" w:cs="Arial"/>
                <w:sz w:val="20"/>
                <w:szCs w:val="20"/>
              </w:rPr>
              <w:t>17(74%)</w:t>
            </w:r>
          </w:p>
        </w:tc>
        <w:tc>
          <w:tcPr>
            <w:tcW w:w="1428" w:type="dxa"/>
            <w:tcBorders>
              <w:top w:val="single" w:sz="4" w:space="0" w:color="000000"/>
              <w:left w:val="nil"/>
              <w:bottom w:val="nil"/>
              <w:right w:val="nil"/>
            </w:tcBorders>
            <w:shd w:val="clear" w:color="auto" w:fill="auto"/>
          </w:tcPr>
          <w:p w:rsidR="009A41C3" w:rsidRPr="009A41C3" w:rsidRDefault="009A41C3" w:rsidP="009A41C3">
            <w:pPr>
              <w:tabs>
                <w:tab w:val="left" w:pos="1592"/>
              </w:tabs>
              <w:ind w:left="360"/>
              <w:jc w:val="both"/>
              <w:rPr>
                <w:rFonts w:ascii="Arial" w:hAnsi="Arial" w:cs="Arial"/>
                <w:sz w:val="20"/>
                <w:szCs w:val="20"/>
              </w:rPr>
            </w:pPr>
            <w:r w:rsidRPr="009A41C3">
              <w:rPr>
                <w:rFonts w:ascii="Arial" w:hAnsi="Arial" w:cs="Arial"/>
                <w:sz w:val="20"/>
                <w:szCs w:val="20"/>
              </w:rPr>
              <w:t>6 (26%)</w:t>
            </w:r>
          </w:p>
        </w:tc>
        <w:tc>
          <w:tcPr>
            <w:tcW w:w="1269" w:type="dxa"/>
            <w:tcBorders>
              <w:top w:val="single" w:sz="4" w:space="0" w:color="000000"/>
              <w:left w:val="nil"/>
              <w:bottom w:val="nil"/>
              <w:right w:val="nil"/>
            </w:tcBorders>
          </w:tcPr>
          <w:p w:rsidR="009A41C3" w:rsidRPr="009A41C3" w:rsidRDefault="009A41C3" w:rsidP="009A41C3">
            <w:pPr>
              <w:tabs>
                <w:tab w:val="left" w:pos="1592"/>
              </w:tabs>
              <w:ind w:left="360"/>
              <w:jc w:val="both"/>
              <w:rPr>
                <w:rFonts w:ascii="Arial" w:hAnsi="Arial" w:cs="Arial"/>
                <w:sz w:val="20"/>
                <w:szCs w:val="20"/>
              </w:rPr>
            </w:pPr>
            <w:r w:rsidRPr="009A41C3">
              <w:rPr>
                <w:rFonts w:ascii="Arial" w:hAnsi="Arial" w:cs="Arial"/>
                <w:sz w:val="20"/>
                <w:szCs w:val="20"/>
              </w:rPr>
              <w:t>0.001*</w:t>
            </w:r>
          </w:p>
        </w:tc>
        <w:tc>
          <w:tcPr>
            <w:tcW w:w="1478" w:type="dxa"/>
            <w:tcBorders>
              <w:top w:val="single" w:sz="4" w:space="0" w:color="000000"/>
              <w:left w:val="nil"/>
              <w:bottom w:val="nil"/>
              <w:right w:val="nil"/>
            </w:tcBorders>
            <w:shd w:val="clear" w:color="auto" w:fill="auto"/>
          </w:tcPr>
          <w:p w:rsidR="009A41C3" w:rsidRPr="009A41C3" w:rsidRDefault="009A41C3" w:rsidP="009A41C3">
            <w:pPr>
              <w:tabs>
                <w:tab w:val="left" w:pos="1592"/>
              </w:tabs>
              <w:ind w:left="360"/>
              <w:jc w:val="both"/>
              <w:rPr>
                <w:rFonts w:ascii="Arial" w:hAnsi="Arial" w:cs="Arial"/>
                <w:sz w:val="20"/>
                <w:szCs w:val="20"/>
              </w:rPr>
            </w:pPr>
            <w:r w:rsidRPr="009A41C3">
              <w:rPr>
                <w:rFonts w:ascii="Arial" w:hAnsi="Arial" w:cs="Arial"/>
                <w:sz w:val="20"/>
                <w:szCs w:val="20"/>
              </w:rPr>
              <w:t>22 (96%)</w:t>
            </w:r>
          </w:p>
        </w:tc>
        <w:tc>
          <w:tcPr>
            <w:tcW w:w="1328" w:type="dxa"/>
            <w:tcBorders>
              <w:top w:val="single" w:sz="4" w:space="0" w:color="000000"/>
              <w:left w:val="nil"/>
              <w:bottom w:val="nil"/>
              <w:right w:val="nil"/>
            </w:tcBorders>
            <w:shd w:val="clear" w:color="auto" w:fill="auto"/>
          </w:tcPr>
          <w:p w:rsidR="009A41C3" w:rsidRPr="009A41C3" w:rsidRDefault="009A41C3" w:rsidP="009A41C3">
            <w:pPr>
              <w:tabs>
                <w:tab w:val="left" w:pos="1592"/>
              </w:tabs>
              <w:ind w:left="360"/>
              <w:jc w:val="both"/>
              <w:rPr>
                <w:rFonts w:ascii="Arial" w:hAnsi="Arial" w:cs="Arial"/>
                <w:sz w:val="20"/>
                <w:szCs w:val="20"/>
              </w:rPr>
            </w:pPr>
            <w:r w:rsidRPr="009A41C3">
              <w:rPr>
                <w:rFonts w:ascii="Arial" w:hAnsi="Arial" w:cs="Arial"/>
                <w:sz w:val="20"/>
                <w:szCs w:val="20"/>
              </w:rPr>
              <w:t>1 (4%)</w:t>
            </w:r>
          </w:p>
        </w:tc>
        <w:tc>
          <w:tcPr>
            <w:tcW w:w="1594" w:type="dxa"/>
            <w:tcBorders>
              <w:top w:val="single" w:sz="4" w:space="0" w:color="000000"/>
              <w:left w:val="nil"/>
              <w:bottom w:val="nil"/>
            </w:tcBorders>
            <w:shd w:val="clear" w:color="auto" w:fill="auto"/>
          </w:tcPr>
          <w:p w:rsidR="009A41C3" w:rsidRPr="009A41C3" w:rsidRDefault="009A41C3" w:rsidP="009A41C3">
            <w:pPr>
              <w:tabs>
                <w:tab w:val="left" w:pos="1592"/>
              </w:tabs>
              <w:ind w:left="360"/>
              <w:jc w:val="both"/>
              <w:rPr>
                <w:rFonts w:ascii="Arial" w:hAnsi="Arial" w:cs="Arial"/>
                <w:sz w:val="20"/>
                <w:szCs w:val="20"/>
              </w:rPr>
            </w:pPr>
            <w:r w:rsidRPr="009A41C3">
              <w:rPr>
                <w:rFonts w:ascii="Arial" w:hAnsi="Arial" w:cs="Arial"/>
                <w:sz w:val="20"/>
                <w:szCs w:val="20"/>
              </w:rPr>
              <w:t>0.0000*</w:t>
            </w:r>
          </w:p>
        </w:tc>
      </w:tr>
      <w:tr w:rsidR="009A41C3" w:rsidRPr="009A41C3" w:rsidTr="00A73711">
        <w:trPr>
          <w:trHeight w:val="539"/>
        </w:trPr>
        <w:tc>
          <w:tcPr>
            <w:tcW w:w="1536" w:type="dxa"/>
            <w:tcBorders>
              <w:top w:val="nil"/>
              <w:bottom w:val="nil"/>
              <w:right w:val="nil"/>
            </w:tcBorders>
            <w:shd w:val="clear" w:color="auto" w:fill="auto"/>
          </w:tcPr>
          <w:p w:rsidR="009A41C3" w:rsidRPr="009A41C3" w:rsidRDefault="009A41C3" w:rsidP="009A41C3">
            <w:pPr>
              <w:tabs>
                <w:tab w:val="left" w:pos="1592"/>
              </w:tabs>
              <w:ind w:left="360"/>
              <w:jc w:val="both"/>
              <w:rPr>
                <w:rFonts w:ascii="Arial" w:hAnsi="Arial" w:cs="Arial"/>
                <w:b/>
                <w:sz w:val="20"/>
                <w:szCs w:val="20"/>
              </w:rPr>
            </w:pPr>
            <w:r w:rsidRPr="009A41C3">
              <w:rPr>
                <w:rFonts w:ascii="Arial" w:hAnsi="Arial" w:cs="Arial"/>
                <w:b/>
                <w:sz w:val="20"/>
                <w:szCs w:val="20"/>
              </w:rPr>
              <w:t>CE</w:t>
            </w:r>
          </w:p>
        </w:tc>
        <w:tc>
          <w:tcPr>
            <w:tcW w:w="1385" w:type="dxa"/>
            <w:tcBorders>
              <w:top w:val="nil"/>
              <w:left w:val="nil"/>
              <w:bottom w:val="nil"/>
              <w:right w:val="nil"/>
            </w:tcBorders>
            <w:shd w:val="clear" w:color="auto" w:fill="auto"/>
          </w:tcPr>
          <w:p w:rsidR="009A41C3" w:rsidRPr="009A41C3" w:rsidRDefault="009A41C3" w:rsidP="009A41C3">
            <w:pPr>
              <w:tabs>
                <w:tab w:val="left" w:pos="1592"/>
              </w:tabs>
              <w:ind w:left="360"/>
              <w:jc w:val="both"/>
              <w:rPr>
                <w:rFonts w:ascii="Arial" w:hAnsi="Arial" w:cs="Arial"/>
                <w:sz w:val="20"/>
                <w:szCs w:val="20"/>
              </w:rPr>
            </w:pPr>
            <w:r w:rsidRPr="009A41C3">
              <w:rPr>
                <w:rFonts w:ascii="Arial" w:hAnsi="Arial" w:cs="Arial"/>
                <w:sz w:val="20"/>
                <w:szCs w:val="20"/>
              </w:rPr>
              <w:t>6  (40%)</w:t>
            </w:r>
          </w:p>
        </w:tc>
        <w:tc>
          <w:tcPr>
            <w:tcW w:w="1428" w:type="dxa"/>
            <w:tcBorders>
              <w:top w:val="nil"/>
              <w:left w:val="nil"/>
              <w:bottom w:val="nil"/>
              <w:right w:val="nil"/>
            </w:tcBorders>
            <w:shd w:val="clear" w:color="auto" w:fill="auto"/>
          </w:tcPr>
          <w:p w:rsidR="009A41C3" w:rsidRPr="009A41C3" w:rsidRDefault="009A41C3" w:rsidP="009A41C3">
            <w:pPr>
              <w:tabs>
                <w:tab w:val="left" w:pos="1592"/>
              </w:tabs>
              <w:ind w:left="360"/>
              <w:jc w:val="both"/>
              <w:rPr>
                <w:rFonts w:ascii="Arial" w:hAnsi="Arial" w:cs="Arial"/>
                <w:sz w:val="20"/>
                <w:szCs w:val="20"/>
              </w:rPr>
            </w:pPr>
            <w:r w:rsidRPr="009A41C3">
              <w:rPr>
                <w:rFonts w:ascii="Arial" w:hAnsi="Arial" w:cs="Arial"/>
                <w:sz w:val="20"/>
                <w:szCs w:val="20"/>
              </w:rPr>
              <w:t>9  (60%)</w:t>
            </w:r>
          </w:p>
        </w:tc>
        <w:tc>
          <w:tcPr>
            <w:tcW w:w="1269" w:type="dxa"/>
            <w:tcBorders>
              <w:top w:val="nil"/>
              <w:left w:val="nil"/>
              <w:bottom w:val="nil"/>
              <w:right w:val="nil"/>
            </w:tcBorders>
          </w:tcPr>
          <w:p w:rsidR="009A41C3" w:rsidRPr="009A41C3" w:rsidRDefault="009A41C3" w:rsidP="009A41C3">
            <w:pPr>
              <w:tabs>
                <w:tab w:val="left" w:pos="1592"/>
              </w:tabs>
              <w:ind w:left="360"/>
              <w:jc w:val="both"/>
              <w:rPr>
                <w:rFonts w:ascii="Arial" w:hAnsi="Arial" w:cs="Arial"/>
                <w:sz w:val="20"/>
                <w:szCs w:val="20"/>
              </w:rPr>
            </w:pPr>
            <w:r w:rsidRPr="009A41C3">
              <w:rPr>
                <w:rFonts w:ascii="Arial" w:hAnsi="Arial" w:cs="Arial"/>
                <w:sz w:val="20"/>
                <w:szCs w:val="20"/>
              </w:rPr>
              <w:t>0.14</w:t>
            </w:r>
          </w:p>
        </w:tc>
        <w:tc>
          <w:tcPr>
            <w:tcW w:w="1478" w:type="dxa"/>
            <w:tcBorders>
              <w:top w:val="nil"/>
              <w:left w:val="nil"/>
              <w:bottom w:val="nil"/>
              <w:right w:val="nil"/>
            </w:tcBorders>
            <w:shd w:val="clear" w:color="auto" w:fill="auto"/>
          </w:tcPr>
          <w:p w:rsidR="009A41C3" w:rsidRPr="009A41C3" w:rsidRDefault="009A41C3" w:rsidP="009A41C3">
            <w:pPr>
              <w:tabs>
                <w:tab w:val="left" w:pos="1592"/>
              </w:tabs>
              <w:ind w:left="360"/>
              <w:jc w:val="both"/>
              <w:rPr>
                <w:rFonts w:ascii="Arial" w:hAnsi="Arial" w:cs="Arial"/>
                <w:sz w:val="20"/>
                <w:szCs w:val="20"/>
              </w:rPr>
            </w:pPr>
            <w:r w:rsidRPr="009A41C3">
              <w:rPr>
                <w:rFonts w:ascii="Arial" w:hAnsi="Arial" w:cs="Arial"/>
                <w:sz w:val="20"/>
                <w:szCs w:val="20"/>
              </w:rPr>
              <w:t>11  (73%)</w:t>
            </w:r>
          </w:p>
        </w:tc>
        <w:tc>
          <w:tcPr>
            <w:tcW w:w="1328" w:type="dxa"/>
            <w:tcBorders>
              <w:top w:val="nil"/>
              <w:left w:val="nil"/>
              <w:bottom w:val="nil"/>
              <w:right w:val="nil"/>
            </w:tcBorders>
            <w:shd w:val="clear" w:color="auto" w:fill="auto"/>
          </w:tcPr>
          <w:p w:rsidR="009A41C3" w:rsidRPr="009A41C3" w:rsidRDefault="009A41C3" w:rsidP="009A41C3">
            <w:pPr>
              <w:tabs>
                <w:tab w:val="left" w:pos="1592"/>
              </w:tabs>
              <w:ind w:left="360"/>
              <w:jc w:val="both"/>
              <w:rPr>
                <w:rFonts w:ascii="Arial" w:hAnsi="Arial" w:cs="Arial"/>
                <w:sz w:val="20"/>
                <w:szCs w:val="20"/>
              </w:rPr>
            </w:pPr>
            <w:r w:rsidRPr="009A41C3">
              <w:rPr>
                <w:rFonts w:ascii="Arial" w:hAnsi="Arial" w:cs="Arial"/>
                <w:sz w:val="20"/>
                <w:szCs w:val="20"/>
              </w:rPr>
              <w:t>4 (27%)</w:t>
            </w:r>
          </w:p>
        </w:tc>
        <w:tc>
          <w:tcPr>
            <w:tcW w:w="1594" w:type="dxa"/>
            <w:tcBorders>
              <w:top w:val="nil"/>
              <w:left w:val="nil"/>
              <w:bottom w:val="nil"/>
            </w:tcBorders>
            <w:shd w:val="clear" w:color="auto" w:fill="auto"/>
          </w:tcPr>
          <w:p w:rsidR="009A41C3" w:rsidRPr="009A41C3" w:rsidRDefault="009A41C3" w:rsidP="009A41C3">
            <w:pPr>
              <w:tabs>
                <w:tab w:val="left" w:pos="1592"/>
              </w:tabs>
              <w:ind w:left="360"/>
              <w:jc w:val="both"/>
              <w:rPr>
                <w:rFonts w:ascii="Arial" w:hAnsi="Arial" w:cs="Arial"/>
                <w:sz w:val="20"/>
                <w:szCs w:val="20"/>
              </w:rPr>
            </w:pPr>
            <w:r w:rsidRPr="009A41C3">
              <w:rPr>
                <w:rFonts w:ascii="Arial" w:hAnsi="Arial" w:cs="Arial"/>
                <w:sz w:val="20"/>
                <w:szCs w:val="20"/>
              </w:rPr>
              <w:t>0.008*</w:t>
            </w:r>
          </w:p>
        </w:tc>
      </w:tr>
      <w:tr w:rsidR="009A41C3" w:rsidRPr="009A41C3" w:rsidTr="00A73711">
        <w:trPr>
          <w:trHeight w:val="320"/>
        </w:trPr>
        <w:tc>
          <w:tcPr>
            <w:tcW w:w="1536" w:type="dxa"/>
            <w:tcBorders>
              <w:top w:val="nil"/>
              <w:bottom w:val="nil"/>
              <w:right w:val="nil"/>
            </w:tcBorders>
            <w:shd w:val="clear" w:color="auto" w:fill="auto"/>
          </w:tcPr>
          <w:p w:rsidR="009A41C3" w:rsidRPr="009A41C3" w:rsidRDefault="009A41C3" w:rsidP="009A41C3">
            <w:pPr>
              <w:tabs>
                <w:tab w:val="left" w:pos="1592"/>
              </w:tabs>
              <w:ind w:left="360"/>
              <w:jc w:val="both"/>
              <w:rPr>
                <w:rFonts w:ascii="Arial" w:hAnsi="Arial" w:cs="Arial"/>
                <w:b/>
                <w:sz w:val="20"/>
                <w:szCs w:val="20"/>
              </w:rPr>
            </w:pPr>
            <w:r w:rsidRPr="009A41C3">
              <w:rPr>
                <w:rFonts w:ascii="Arial" w:hAnsi="Arial" w:cs="Arial"/>
                <w:b/>
                <w:sz w:val="20"/>
                <w:szCs w:val="20"/>
              </w:rPr>
              <w:t>Valor de p 1</w:t>
            </w:r>
          </w:p>
        </w:tc>
        <w:tc>
          <w:tcPr>
            <w:tcW w:w="2813" w:type="dxa"/>
            <w:gridSpan w:val="2"/>
            <w:tcBorders>
              <w:top w:val="nil"/>
              <w:left w:val="nil"/>
              <w:bottom w:val="nil"/>
              <w:right w:val="nil"/>
            </w:tcBorders>
            <w:shd w:val="clear" w:color="auto" w:fill="auto"/>
          </w:tcPr>
          <w:p w:rsidR="009A41C3" w:rsidRPr="009A41C3" w:rsidRDefault="009A41C3" w:rsidP="009A41C3">
            <w:pPr>
              <w:tabs>
                <w:tab w:val="left" w:pos="1592"/>
              </w:tabs>
              <w:ind w:left="360"/>
              <w:jc w:val="both"/>
              <w:rPr>
                <w:rFonts w:ascii="Arial" w:hAnsi="Arial" w:cs="Arial"/>
                <w:sz w:val="20"/>
                <w:szCs w:val="20"/>
              </w:rPr>
            </w:pPr>
            <w:r w:rsidRPr="009A41C3">
              <w:rPr>
                <w:rFonts w:ascii="Arial" w:hAnsi="Arial" w:cs="Arial"/>
                <w:sz w:val="20"/>
                <w:szCs w:val="20"/>
              </w:rPr>
              <w:t>0.03*</w:t>
            </w:r>
          </w:p>
        </w:tc>
        <w:tc>
          <w:tcPr>
            <w:tcW w:w="1269" w:type="dxa"/>
            <w:tcBorders>
              <w:top w:val="nil"/>
              <w:left w:val="nil"/>
              <w:bottom w:val="nil"/>
              <w:right w:val="nil"/>
            </w:tcBorders>
          </w:tcPr>
          <w:p w:rsidR="009A41C3" w:rsidRPr="009A41C3" w:rsidRDefault="009A41C3" w:rsidP="009A41C3">
            <w:pPr>
              <w:tabs>
                <w:tab w:val="left" w:pos="1592"/>
              </w:tabs>
              <w:ind w:left="360"/>
              <w:jc w:val="both"/>
              <w:rPr>
                <w:rFonts w:ascii="Arial" w:hAnsi="Arial" w:cs="Arial"/>
                <w:sz w:val="20"/>
                <w:szCs w:val="20"/>
              </w:rPr>
            </w:pPr>
            <w:r w:rsidRPr="009A41C3">
              <w:rPr>
                <w:rFonts w:ascii="Arial" w:hAnsi="Arial" w:cs="Arial"/>
                <w:sz w:val="20"/>
                <w:szCs w:val="20"/>
              </w:rPr>
              <w:t>-</w:t>
            </w:r>
          </w:p>
        </w:tc>
        <w:tc>
          <w:tcPr>
            <w:tcW w:w="1478" w:type="dxa"/>
            <w:tcBorders>
              <w:top w:val="nil"/>
              <w:left w:val="nil"/>
              <w:bottom w:val="nil"/>
              <w:right w:val="nil"/>
            </w:tcBorders>
            <w:shd w:val="clear" w:color="auto" w:fill="auto"/>
          </w:tcPr>
          <w:p w:rsidR="009A41C3" w:rsidRPr="009A41C3" w:rsidRDefault="009A41C3" w:rsidP="009A41C3">
            <w:pPr>
              <w:tabs>
                <w:tab w:val="left" w:pos="1592"/>
              </w:tabs>
              <w:ind w:left="360"/>
              <w:jc w:val="both"/>
              <w:rPr>
                <w:rFonts w:ascii="Arial" w:hAnsi="Arial" w:cs="Arial"/>
                <w:sz w:val="20"/>
                <w:szCs w:val="20"/>
              </w:rPr>
            </w:pPr>
            <w:r w:rsidRPr="009A41C3">
              <w:rPr>
                <w:rFonts w:ascii="Arial" w:hAnsi="Arial" w:cs="Arial"/>
                <w:sz w:val="20"/>
                <w:szCs w:val="20"/>
              </w:rPr>
              <w:t xml:space="preserve">       0.11</w:t>
            </w:r>
          </w:p>
        </w:tc>
        <w:tc>
          <w:tcPr>
            <w:tcW w:w="1328" w:type="dxa"/>
            <w:tcBorders>
              <w:top w:val="nil"/>
              <w:left w:val="nil"/>
              <w:bottom w:val="nil"/>
              <w:right w:val="nil"/>
            </w:tcBorders>
            <w:shd w:val="clear" w:color="auto" w:fill="auto"/>
          </w:tcPr>
          <w:p w:rsidR="009A41C3" w:rsidRPr="009A41C3" w:rsidRDefault="009A41C3" w:rsidP="009A41C3">
            <w:pPr>
              <w:tabs>
                <w:tab w:val="left" w:pos="1592"/>
              </w:tabs>
              <w:ind w:left="360"/>
              <w:jc w:val="both"/>
              <w:rPr>
                <w:rFonts w:ascii="Arial" w:hAnsi="Arial" w:cs="Arial"/>
                <w:sz w:val="20"/>
                <w:szCs w:val="20"/>
              </w:rPr>
            </w:pPr>
            <w:r w:rsidRPr="009A41C3">
              <w:rPr>
                <w:rFonts w:ascii="Arial" w:hAnsi="Arial" w:cs="Arial"/>
                <w:sz w:val="20"/>
                <w:szCs w:val="20"/>
              </w:rPr>
              <w:t>-</w:t>
            </w:r>
          </w:p>
        </w:tc>
        <w:tc>
          <w:tcPr>
            <w:tcW w:w="1594" w:type="dxa"/>
            <w:tcBorders>
              <w:top w:val="nil"/>
              <w:left w:val="nil"/>
              <w:bottom w:val="nil"/>
            </w:tcBorders>
            <w:shd w:val="clear" w:color="auto" w:fill="auto"/>
          </w:tcPr>
          <w:p w:rsidR="009A41C3" w:rsidRPr="009A41C3" w:rsidRDefault="009A41C3" w:rsidP="009A41C3">
            <w:pPr>
              <w:tabs>
                <w:tab w:val="left" w:pos="1592"/>
              </w:tabs>
              <w:ind w:left="360"/>
              <w:jc w:val="both"/>
              <w:rPr>
                <w:rFonts w:ascii="Arial" w:hAnsi="Arial" w:cs="Arial"/>
                <w:sz w:val="20"/>
                <w:szCs w:val="20"/>
              </w:rPr>
            </w:pPr>
            <w:r w:rsidRPr="009A41C3">
              <w:rPr>
                <w:rFonts w:ascii="Arial" w:hAnsi="Arial" w:cs="Arial"/>
                <w:sz w:val="20"/>
                <w:szCs w:val="20"/>
              </w:rPr>
              <w:t>-</w:t>
            </w:r>
          </w:p>
        </w:tc>
      </w:tr>
      <w:tr w:rsidR="009A41C3" w:rsidRPr="009A41C3" w:rsidTr="00A73711">
        <w:trPr>
          <w:trHeight w:val="320"/>
        </w:trPr>
        <w:tc>
          <w:tcPr>
            <w:tcW w:w="1536" w:type="dxa"/>
            <w:tcBorders>
              <w:top w:val="nil"/>
              <w:bottom w:val="single" w:sz="4" w:space="0" w:color="000000"/>
              <w:right w:val="nil"/>
            </w:tcBorders>
            <w:shd w:val="clear" w:color="auto" w:fill="auto"/>
          </w:tcPr>
          <w:p w:rsidR="009A41C3" w:rsidRPr="009A41C3" w:rsidRDefault="009A41C3" w:rsidP="009A41C3">
            <w:pPr>
              <w:tabs>
                <w:tab w:val="left" w:pos="1592"/>
              </w:tabs>
              <w:ind w:left="360"/>
              <w:jc w:val="both"/>
              <w:rPr>
                <w:rFonts w:ascii="Arial" w:hAnsi="Arial" w:cs="Arial"/>
                <w:b/>
                <w:sz w:val="20"/>
                <w:szCs w:val="20"/>
              </w:rPr>
            </w:pPr>
            <w:r w:rsidRPr="009A41C3">
              <w:rPr>
                <w:rFonts w:ascii="Arial" w:hAnsi="Arial" w:cs="Arial"/>
                <w:b/>
                <w:sz w:val="20"/>
                <w:szCs w:val="20"/>
              </w:rPr>
              <w:t>Total</w:t>
            </w:r>
          </w:p>
        </w:tc>
        <w:tc>
          <w:tcPr>
            <w:tcW w:w="1385" w:type="dxa"/>
            <w:tcBorders>
              <w:top w:val="nil"/>
              <w:left w:val="nil"/>
              <w:bottom w:val="single" w:sz="4" w:space="0" w:color="000000"/>
              <w:right w:val="nil"/>
            </w:tcBorders>
            <w:shd w:val="clear" w:color="auto" w:fill="auto"/>
          </w:tcPr>
          <w:p w:rsidR="009A41C3" w:rsidRPr="009A41C3" w:rsidRDefault="009A41C3" w:rsidP="009A41C3">
            <w:pPr>
              <w:tabs>
                <w:tab w:val="left" w:pos="1592"/>
              </w:tabs>
              <w:ind w:left="360"/>
              <w:jc w:val="both"/>
              <w:rPr>
                <w:rFonts w:ascii="Arial" w:hAnsi="Arial" w:cs="Arial"/>
                <w:sz w:val="20"/>
                <w:szCs w:val="20"/>
              </w:rPr>
            </w:pPr>
            <w:r w:rsidRPr="009A41C3">
              <w:rPr>
                <w:rFonts w:ascii="Arial" w:hAnsi="Arial" w:cs="Arial"/>
                <w:sz w:val="20"/>
                <w:szCs w:val="20"/>
              </w:rPr>
              <w:t>23(60%)</w:t>
            </w:r>
          </w:p>
        </w:tc>
        <w:tc>
          <w:tcPr>
            <w:tcW w:w="1428" w:type="dxa"/>
            <w:tcBorders>
              <w:top w:val="nil"/>
              <w:left w:val="nil"/>
              <w:bottom w:val="single" w:sz="4" w:space="0" w:color="000000"/>
              <w:right w:val="nil"/>
            </w:tcBorders>
            <w:shd w:val="clear" w:color="auto" w:fill="auto"/>
          </w:tcPr>
          <w:p w:rsidR="009A41C3" w:rsidRPr="009A41C3" w:rsidRDefault="009A41C3" w:rsidP="009A41C3">
            <w:pPr>
              <w:tabs>
                <w:tab w:val="left" w:pos="1592"/>
              </w:tabs>
              <w:ind w:left="360"/>
              <w:jc w:val="both"/>
              <w:rPr>
                <w:rFonts w:ascii="Arial" w:hAnsi="Arial" w:cs="Arial"/>
                <w:sz w:val="20"/>
                <w:szCs w:val="20"/>
              </w:rPr>
            </w:pPr>
            <w:r w:rsidRPr="009A41C3">
              <w:rPr>
                <w:rFonts w:ascii="Arial" w:hAnsi="Arial" w:cs="Arial"/>
                <w:sz w:val="20"/>
                <w:szCs w:val="20"/>
              </w:rPr>
              <w:t>15 (40%)</w:t>
            </w:r>
          </w:p>
        </w:tc>
        <w:tc>
          <w:tcPr>
            <w:tcW w:w="1269" w:type="dxa"/>
            <w:tcBorders>
              <w:top w:val="nil"/>
              <w:left w:val="nil"/>
              <w:bottom w:val="single" w:sz="4" w:space="0" w:color="000000"/>
              <w:right w:val="nil"/>
            </w:tcBorders>
          </w:tcPr>
          <w:p w:rsidR="009A41C3" w:rsidRPr="009A41C3" w:rsidRDefault="009A41C3" w:rsidP="009A41C3">
            <w:pPr>
              <w:tabs>
                <w:tab w:val="left" w:pos="1592"/>
              </w:tabs>
              <w:ind w:left="360"/>
              <w:jc w:val="both"/>
              <w:rPr>
                <w:rFonts w:ascii="Arial" w:hAnsi="Arial" w:cs="Arial"/>
                <w:sz w:val="20"/>
                <w:szCs w:val="20"/>
              </w:rPr>
            </w:pPr>
            <w:r w:rsidRPr="009A41C3">
              <w:rPr>
                <w:rFonts w:ascii="Arial" w:hAnsi="Arial" w:cs="Arial"/>
                <w:sz w:val="20"/>
                <w:szCs w:val="20"/>
              </w:rPr>
              <w:t>0.11</w:t>
            </w:r>
          </w:p>
        </w:tc>
        <w:tc>
          <w:tcPr>
            <w:tcW w:w="1478" w:type="dxa"/>
            <w:tcBorders>
              <w:top w:val="nil"/>
              <w:left w:val="nil"/>
              <w:bottom w:val="single" w:sz="4" w:space="0" w:color="000000"/>
              <w:right w:val="nil"/>
            </w:tcBorders>
            <w:shd w:val="clear" w:color="auto" w:fill="auto"/>
          </w:tcPr>
          <w:p w:rsidR="009A41C3" w:rsidRPr="009A41C3" w:rsidRDefault="009A41C3" w:rsidP="009A41C3">
            <w:pPr>
              <w:tabs>
                <w:tab w:val="left" w:pos="1592"/>
              </w:tabs>
              <w:ind w:left="360"/>
              <w:jc w:val="both"/>
              <w:rPr>
                <w:rFonts w:ascii="Arial" w:hAnsi="Arial" w:cs="Arial"/>
                <w:sz w:val="20"/>
                <w:szCs w:val="20"/>
              </w:rPr>
            </w:pPr>
            <w:r w:rsidRPr="009A41C3">
              <w:rPr>
                <w:rFonts w:ascii="Arial" w:hAnsi="Arial" w:cs="Arial"/>
                <w:sz w:val="20"/>
                <w:szCs w:val="20"/>
              </w:rPr>
              <w:t>33 (86%)</w:t>
            </w:r>
          </w:p>
        </w:tc>
        <w:tc>
          <w:tcPr>
            <w:tcW w:w="1328" w:type="dxa"/>
            <w:tcBorders>
              <w:top w:val="nil"/>
              <w:left w:val="nil"/>
              <w:bottom w:val="single" w:sz="4" w:space="0" w:color="000000"/>
              <w:right w:val="nil"/>
            </w:tcBorders>
            <w:shd w:val="clear" w:color="auto" w:fill="auto"/>
          </w:tcPr>
          <w:p w:rsidR="009A41C3" w:rsidRPr="009A41C3" w:rsidRDefault="009A41C3" w:rsidP="009A41C3">
            <w:pPr>
              <w:tabs>
                <w:tab w:val="left" w:pos="1592"/>
              </w:tabs>
              <w:ind w:left="360"/>
              <w:jc w:val="both"/>
              <w:rPr>
                <w:rFonts w:ascii="Arial" w:hAnsi="Arial" w:cs="Arial"/>
                <w:sz w:val="20"/>
                <w:szCs w:val="20"/>
              </w:rPr>
            </w:pPr>
            <w:r w:rsidRPr="009A41C3">
              <w:rPr>
                <w:rFonts w:ascii="Arial" w:hAnsi="Arial" w:cs="Arial"/>
                <w:sz w:val="20"/>
                <w:szCs w:val="20"/>
              </w:rPr>
              <w:t>5(14%)</w:t>
            </w:r>
          </w:p>
        </w:tc>
        <w:tc>
          <w:tcPr>
            <w:tcW w:w="1594" w:type="dxa"/>
            <w:tcBorders>
              <w:top w:val="nil"/>
              <w:left w:val="nil"/>
              <w:bottom w:val="single" w:sz="4" w:space="0" w:color="000000"/>
            </w:tcBorders>
            <w:shd w:val="clear" w:color="auto" w:fill="auto"/>
          </w:tcPr>
          <w:p w:rsidR="009A41C3" w:rsidRPr="009A41C3" w:rsidRDefault="009A41C3" w:rsidP="009A41C3">
            <w:pPr>
              <w:tabs>
                <w:tab w:val="left" w:pos="1592"/>
              </w:tabs>
              <w:ind w:left="360"/>
              <w:jc w:val="both"/>
              <w:rPr>
                <w:rFonts w:ascii="Arial" w:hAnsi="Arial" w:cs="Arial"/>
                <w:sz w:val="20"/>
                <w:szCs w:val="20"/>
              </w:rPr>
            </w:pPr>
            <w:r w:rsidRPr="009A41C3">
              <w:rPr>
                <w:rFonts w:ascii="Arial" w:hAnsi="Arial" w:cs="Arial"/>
                <w:sz w:val="20"/>
                <w:szCs w:val="20"/>
              </w:rPr>
              <w:t>0.0006*</w:t>
            </w:r>
          </w:p>
        </w:tc>
      </w:tr>
    </w:tbl>
    <w:p w:rsidR="009A41C3" w:rsidRPr="009A41C3" w:rsidRDefault="009A41C3" w:rsidP="009A41C3">
      <w:pPr>
        <w:adjustRightInd w:val="0"/>
        <w:snapToGrid w:val="0"/>
        <w:spacing w:before="120" w:after="120"/>
        <w:jc w:val="both"/>
        <w:rPr>
          <w:rFonts w:ascii="Arial" w:hAnsi="Arial" w:cs="Arial"/>
          <w:sz w:val="20"/>
          <w:szCs w:val="20"/>
        </w:rPr>
      </w:pPr>
      <w:r w:rsidRPr="009A41C3">
        <w:rPr>
          <w:rFonts w:ascii="Arial" w:hAnsi="Arial" w:cs="Arial"/>
          <w:sz w:val="20"/>
          <w:szCs w:val="20"/>
        </w:rPr>
        <w:t>Fuente: CPnE: crisis psicógenas no epilépticas, CE: crisis epilépticas.  Escala de ansiedad GAD-7 y Escala de depresión NDDI-E. Leyenda: &lt;10 ausencias de Trastorno de Ansiedad Generalizado y ≥10 sospecha de Trastorno de Ansiedad Generalizado. &lt;15 ausencia de Episodio Depresivo Mayor y ≥15 sospecha de Episodio Depresivo Mayor. Paquete estadístico Statistic 8.0. Valor de p 1: Estadística n</w:t>
      </w:r>
      <w:r w:rsidRPr="009A41C3">
        <w:rPr>
          <w:rFonts w:ascii="Arial" w:hAnsi="Arial" w:cs="Arial"/>
          <w:snapToGrid w:val="0"/>
          <w:sz w:val="20"/>
          <w:szCs w:val="20"/>
          <w:lang w:bidi="en-US"/>
        </w:rPr>
        <w:t>o paramétrica, comparación entre grupos independientes, Mann-Whitney U Test</w:t>
      </w:r>
      <w:r w:rsidRPr="009A41C3">
        <w:rPr>
          <w:rFonts w:ascii="Arial" w:hAnsi="Arial" w:cs="Arial"/>
          <w:sz w:val="20"/>
          <w:szCs w:val="20"/>
        </w:rPr>
        <w:t>. Valor de p 2: Diferencias entre proporciones, significativo p≤0.05 *.</w:t>
      </w:r>
    </w:p>
    <w:p w:rsidR="00996307" w:rsidRDefault="00996307" w:rsidP="009A41C3">
      <w:pPr>
        <w:spacing w:after="0" w:line="240" w:lineRule="auto"/>
        <w:jc w:val="both"/>
        <w:rPr>
          <w:rFonts w:ascii="Arial" w:eastAsia="Calibri" w:hAnsi="Arial" w:cs="Arial"/>
          <w:b/>
          <w:sz w:val="20"/>
          <w:szCs w:val="20"/>
        </w:rPr>
      </w:pPr>
    </w:p>
    <w:p w:rsidR="00A15D6F" w:rsidRPr="009A41C3" w:rsidRDefault="00A15D6F" w:rsidP="009A41C3">
      <w:pPr>
        <w:pStyle w:val="Sinespaciado"/>
        <w:jc w:val="both"/>
        <w:rPr>
          <w:rFonts w:cs="Arial"/>
          <w:szCs w:val="20"/>
        </w:rPr>
      </w:pPr>
    </w:p>
    <w:p w:rsidR="00A15D6F" w:rsidRPr="009A41C3" w:rsidRDefault="00A15D6F" w:rsidP="009A41C3">
      <w:pPr>
        <w:pStyle w:val="Ttulo3"/>
        <w:framePr w:wrap="notBeside"/>
        <w:shd w:val="clear" w:color="auto" w:fill="F2F2F2" w:themeFill="background1" w:themeFillShade="F2"/>
        <w:jc w:val="both"/>
        <w:rPr>
          <w:rFonts w:cs="Arial"/>
          <w:szCs w:val="20"/>
        </w:rPr>
      </w:pPr>
      <w:r w:rsidRPr="009A41C3">
        <w:rPr>
          <w:rFonts w:cs="Arial"/>
          <w:szCs w:val="20"/>
        </w:rPr>
        <w:t>Tabla 4.</w:t>
      </w:r>
    </w:p>
    <w:p w:rsidR="00A15D6F" w:rsidRPr="009A41C3" w:rsidRDefault="00A15D6F" w:rsidP="009A41C3">
      <w:pPr>
        <w:pStyle w:val="Sinespaciado"/>
        <w:jc w:val="both"/>
        <w:rPr>
          <w:rFonts w:cs="Arial"/>
          <w:szCs w:val="20"/>
        </w:rPr>
      </w:pPr>
    </w:p>
    <w:p w:rsidR="009A41C3" w:rsidRPr="009A41C3" w:rsidRDefault="009A41C3" w:rsidP="009A41C3">
      <w:pPr>
        <w:jc w:val="both"/>
        <w:rPr>
          <w:rFonts w:ascii="Arial" w:hAnsi="Arial" w:cs="Arial"/>
          <w:sz w:val="20"/>
          <w:szCs w:val="20"/>
        </w:rPr>
      </w:pPr>
      <w:r w:rsidRPr="009A41C3">
        <w:rPr>
          <w:rFonts w:ascii="Arial" w:eastAsia="Times New Roman" w:hAnsi="Arial" w:cs="Arial"/>
          <w:color w:val="000000"/>
          <w:sz w:val="20"/>
          <w:szCs w:val="20"/>
          <w:lang w:eastAsia="es-ES"/>
        </w:rPr>
        <w:t>T</w:t>
      </w:r>
      <w:r w:rsidRPr="009A41C3">
        <w:rPr>
          <w:rFonts w:ascii="Arial" w:hAnsi="Arial" w:cs="Arial"/>
          <w:sz w:val="20"/>
          <w:szCs w:val="20"/>
        </w:rPr>
        <w:t>abla. 4. Correlación entre las variables demográficas, clínicas y psicológicas de la investigación entre los grupos con CE y CPnE.</w:t>
      </w:r>
    </w:p>
    <w:tbl>
      <w:tblPr>
        <w:tblW w:w="0" w:type="auto"/>
        <w:tblInd w:w="250"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6237"/>
        <w:gridCol w:w="1418"/>
      </w:tblGrid>
      <w:tr w:rsidR="009A41C3" w:rsidRPr="009A41C3" w:rsidTr="00A73711">
        <w:tc>
          <w:tcPr>
            <w:tcW w:w="6237" w:type="dxa"/>
            <w:tcBorders>
              <w:bottom w:val="single" w:sz="4" w:space="0" w:color="000000"/>
            </w:tcBorders>
            <w:shd w:val="clear" w:color="auto" w:fill="auto"/>
          </w:tcPr>
          <w:p w:rsidR="009A41C3" w:rsidRPr="009A41C3" w:rsidRDefault="009A41C3" w:rsidP="009A41C3">
            <w:pPr>
              <w:autoSpaceDE w:val="0"/>
              <w:autoSpaceDN w:val="0"/>
              <w:adjustRightInd w:val="0"/>
              <w:spacing w:after="0"/>
              <w:jc w:val="both"/>
              <w:rPr>
                <w:rFonts w:ascii="Arial" w:hAnsi="Arial" w:cs="Arial"/>
                <w:b/>
                <w:bCs/>
                <w:sz w:val="20"/>
                <w:szCs w:val="20"/>
                <w:lang w:eastAsia="es-ES"/>
              </w:rPr>
            </w:pPr>
            <w:r w:rsidRPr="009A41C3">
              <w:rPr>
                <w:rFonts w:ascii="Arial" w:hAnsi="Arial" w:cs="Arial"/>
                <w:b/>
                <w:bCs/>
                <w:sz w:val="20"/>
                <w:szCs w:val="20"/>
                <w:lang w:eastAsia="es-ES"/>
              </w:rPr>
              <w:t>Correlación entre las variables y grupo</w:t>
            </w:r>
          </w:p>
        </w:tc>
        <w:tc>
          <w:tcPr>
            <w:tcW w:w="1418" w:type="dxa"/>
            <w:tcBorders>
              <w:bottom w:val="single" w:sz="4" w:space="0" w:color="000000"/>
            </w:tcBorders>
            <w:shd w:val="clear" w:color="auto" w:fill="auto"/>
          </w:tcPr>
          <w:p w:rsidR="009A41C3" w:rsidRPr="009A41C3" w:rsidRDefault="009A41C3" w:rsidP="009A41C3">
            <w:pPr>
              <w:autoSpaceDE w:val="0"/>
              <w:autoSpaceDN w:val="0"/>
              <w:adjustRightInd w:val="0"/>
              <w:spacing w:after="0"/>
              <w:jc w:val="both"/>
              <w:rPr>
                <w:rFonts w:ascii="Arial" w:hAnsi="Arial" w:cs="Arial"/>
                <w:b/>
                <w:bCs/>
                <w:sz w:val="20"/>
                <w:szCs w:val="20"/>
                <w:lang w:eastAsia="es-ES"/>
              </w:rPr>
            </w:pPr>
            <w:r w:rsidRPr="009A41C3">
              <w:rPr>
                <w:rFonts w:ascii="Arial" w:hAnsi="Arial" w:cs="Arial"/>
                <w:b/>
                <w:bCs/>
                <w:sz w:val="20"/>
                <w:szCs w:val="20"/>
                <w:lang w:eastAsia="es-ES"/>
              </w:rPr>
              <w:t>Valor de r</w:t>
            </w:r>
          </w:p>
        </w:tc>
      </w:tr>
      <w:tr w:rsidR="009A41C3" w:rsidRPr="009A41C3" w:rsidTr="00A73711">
        <w:tc>
          <w:tcPr>
            <w:tcW w:w="6237" w:type="dxa"/>
            <w:tcBorders>
              <w:bottom w:val="nil"/>
            </w:tcBorders>
            <w:shd w:val="clear" w:color="auto" w:fill="auto"/>
          </w:tcPr>
          <w:p w:rsidR="009A41C3" w:rsidRPr="009A41C3" w:rsidRDefault="009A41C3" w:rsidP="009A41C3">
            <w:pPr>
              <w:autoSpaceDE w:val="0"/>
              <w:autoSpaceDN w:val="0"/>
              <w:adjustRightInd w:val="0"/>
              <w:spacing w:after="0"/>
              <w:jc w:val="both"/>
              <w:rPr>
                <w:rFonts w:ascii="Arial" w:hAnsi="Arial" w:cs="Arial"/>
                <w:b/>
                <w:bCs/>
                <w:sz w:val="20"/>
                <w:szCs w:val="20"/>
                <w:lang w:eastAsia="es-ES"/>
              </w:rPr>
            </w:pPr>
            <w:r w:rsidRPr="009A41C3">
              <w:rPr>
                <w:rFonts w:ascii="Arial" w:hAnsi="Arial" w:cs="Arial"/>
                <w:sz w:val="20"/>
                <w:szCs w:val="20"/>
              </w:rPr>
              <w:t xml:space="preserve">Edad y afrontamiento (CPnE) </w:t>
            </w:r>
          </w:p>
        </w:tc>
        <w:tc>
          <w:tcPr>
            <w:tcW w:w="1418" w:type="dxa"/>
            <w:tcBorders>
              <w:bottom w:val="nil"/>
            </w:tcBorders>
            <w:shd w:val="clear" w:color="auto" w:fill="auto"/>
          </w:tcPr>
          <w:p w:rsidR="009A41C3" w:rsidRPr="009A41C3" w:rsidRDefault="009A41C3" w:rsidP="009A41C3">
            <w:pPr>
              <w:autoSpaceDE w:val="0"/>
              <w:autoSpaceDN w:val="0"/>
              <w:adjustRightInd w:val="0"/>
              <w:spacing w:after="0"/>
              <w:jc w:val="both"/>
              <w:rPr>
                <w:rFonts w:ascii="Arial" w:hAnsi="Arial" w:cs="Arial"/>
                <w:b/>
                <w:bCs/>
                <w:sz w:val="20"/>
                <w:szCs w:val="20"/>
                <w:lang w:eastAsia="es-ES"/>
              </w:rPr>
            </w:pPr>
            <w:r w:rsidRPr="009A41C3">
              <w:rPr>
                <w:rFonts w:ascii="Arial" w:hAnsi="Arial" w:cs="Arial"/>
                <w:sz w:val="20"/>
                <w:szCs w:val="20"/>
              </w:rPr>
              <w:t>r=</w:t>
            </w:r>
            <w:r w:rsidRPr="009A41C3">
              <w:rPr>
                <w:rFonts w:ascii="Arial" w:eastAsia="Times New Roman" w:hAnsi="Arial" w:cs="Arial"/>
                <w:sz w:val="20"/>
                <w:szCs w:val="20"/>
                <w:lang w:eastAsia="es-ES"/>
              </w:rPr>
              <w:t>0,48</w:t>
            </w:r>
          </w:p>
        </w:tc>
      </w:tr>
      <w:tr w:rsidR="009A41C3" w:rsidRPr="009A41C3" w:rsidTr="00A73711">
        <w:tc>
          <w:tcPr>
            <w:tcW w:w="6237" w:type="dxa"/>
            <w:tcBorders>
              <w:top w:val="nil"/>
              <w:bottom w:val="nil"/>
            </w:tcBorders>
            <w:shd w:val="clear" w:color="auto" w:fill="auto"/>
          </w:tcPr>
          <w:p w:rsidR="009A41C3" w:rsidRPr="009A41C3" w:rsidRDefault="009A41C3" w:rsidP="009A41C3">
            <w:pPr>
              <w:autoSpaceDE w:val="0"/>
              <w:autoSpaceDN w:val="0"/>
              <w:adjustRightInd w:val="0"/>
              <w:spacing w:after="0"/>
              <w:jc w:val="both"/>
              <w:rPr>
                <w:rFonts w:ascii="Arial" w:hAnsi="Arial" w:cs="Arial"/>
                <w:b/>
                <w:bCs/>
                <w:sz w:val="20"/>
                <w:szCs w:val="20"/>
                <w:lang w:eastAsia="es-ES"/>
              </w:rPr>
            </w:pPr>
            <w:r w:rsidRPr="009A41C3">
              <w:rPr>
                <w:rFonts w:ascii="Arial" w:hAnsi="Arial" w:cs="Arial"/>
                <w:sz w:val="20"/>
                <w:szCs w:val="20"/>
              </w:rPr>
              <w:t>Edad y experiencias disociativas (CPnE)</w:t>
            </w:r>
          </w:p>
        </w:tc>
        <w:tc>
          <w:tcPr>
            <w:tcW w:w="1418" w:type="dxa"/>
            <w:tcBorders>
              <w:top w:val="nil"/>
              <w:bottom w:val="nil"/>
            </w:tcBorders>
            <w:shd w:val="clear" w:color="auto" w:fill="auto"/>
          </w:tcPr>
          <w:p w:rsidR="009A41C3" w:rsidRPr="009A41C3" w:rsidRDefault="009A41C3" w:rsidP="009A41C3">
            <w:pPr>
              <w:autoSpaceDE w:val="0"/>
              <w:autoSpaceDN w:val="0"/>
              <w:adjustRightInd w:val="0"/>
              <w:spacing w:after="0"/>
              <w:jc w:val="both"/>
              <w:rPr>
                <w:rFonts w:ascii="Arial" w:hAnsi="Arial" w:cs="Arial"/>
                <w:b/>
                <w:bCs/>
                <w:sz w:val="20"/>
                <w:szCs w:val="20"/>
                <w:lang w:eastAsia="es-ES"/>
              </w:rPr>
            </w:pPr>
            <w:r w:rsidRPr="009A41C3">
              <w:rPr>
                <w:rFonts w:ascii="Arial" w:hAnsi="Arial" w:cs="Arial"/>
                <w:sz w:val="20"/>
                <w:szCs w:val="20"/>
              </w:rPr>
              <w:t>r=-</w:t>
            </w:r>
            <w:r w:rsidRPr="009A41C3">
              <w:rPr>
                <w:rFonts w:ascii="Arial" w:eastAsia="Times New Roman" w:hAnsi="Arial" w:cs="Arial"/>
                <w:sz w:val="20"/>
                <w:szCs w:val="20"/>
                <w:lang w:eastAsia="es-ES"/>
              </w:rPr>
              <w:t>0,46</w:t>
            </w:r>
          </w:p>
        </w:tc>
      </w:tr>
      <w:tr w:rsidR="009A41C3" w:rsidRPr="009A41C3" w:rsidTr="00A73711">
        <w:tc>
          <w:tcPr>
            <w:tcW w:w="6237" w:type="dxa"/>
            <w:tcBorders>
              <w:top w:val="nil"/>
              <w:bottom w:val="nil"/>
            </w:tcBorders>
            <w:shd w:val="clear" w:color="auto" w:fill="auto"/>
          </w:tcPr>
          <w:p w:rsidR="009A41C3" w:rsidRPr="009A41C3" w:rsidRDefault="009A41C3" w:rsidP="009A41C3">
            <w:pPr>
              <w:autoSpaceDE w:val="0"/>
              <w:autoSpaceDN w:val="0"/>
              <w:adjustRightInd w:val="0"/>
              <w:spacing w:after="0"/>
              <w:jc w:val="both"/>
              <w:rPr>
                <w:rFonts w:ascii="Arial" w:hAnsi="Arial" w:cs="Arial"/>
                <w:sz w:val="20"/>
                <w:szCs w:val="20"/>
              </w:rPr>
            </w:pPr>
            <w:r w:rsidRPr="009A41C3">
              <w:rPr>
                <w:rFonts w:ascii="Arial" w:hAnsi="Arial" w:cs="Arial"/>
                <w:sz w:val="20"/>
                <w:szCs w:val="20"/>
              </w:rPr>
              <w:t xml:space="preserve">Sospecha de depresión y estresores (CPnE) </w:t>
            </w:r>
          </w:p>
        </w:tc>
        <w:tc>
          <w:tcPr>
            <w:tcW w:w="1418" w:type="dxa"/>
            <w:tcBorders>
              <w:top w:val="nil"/>
              <w:bottom w:val="nil"/>
            </w:tcBorders>
            <w:shd w:val="clear" w:color="auto" w:fill="auto"/>
          </w:tcPr>
          <w:p w:rsidR="009A41C3" w:rsidRPr="009A41C3" w:rsidRDefault="009A41C3" w:rsidP="009A41C3">
            <w:pPr>
              <w:autoSpaceDE w:val="0"/>
              <w:autoSpaceDN w:val="0"/>
              <w:adjustRightInd w:val="0"/>
              <w:spacing w:after="0"/>
              <w:jc w:val="both"/>
              <w:rPr>
                <w:rFonts w:ascii="Arial" w:hAnsi="Arial" w:cs="Arial"/>
                <w:sz w:val="20"/>
                <w:szCs w:val="20"/>
              </w:rPr>
            </w:pPr>
            <w:r w:rsidRPr="009A41C3">
              <w:rPr>
                <w:rFonts w:ascii="Arial" w:hAnsi="Arial" w:cs="Arial"/>
                <w:sz w:val="20"/>
                <w:szCs w:val="20"/>
              </w:rPr>
              <w:t>r=</w:t>
            </w:r>
            <w:r w:rsidRPr="009A41C3">
              <w:rPr>
                <w:rFonts w:ascii="Arial" w:eastAsia="Times New Roman" w:hAnsi="Arial" w:cs="Arial"/>
                <w:sz w:val="20"/>
                <w:szCs w:val="20"/>
                <w:lang w:eastAsia="es-ES"/>
              </w:rPr>
              <w:t>0,44</w:t>
            </w:r>
          </w:p>
        </w:tc>
      </w:tr>
      <w:tr w:rsidR="009A41C3" w:rsidRPr="009A41C3" w:rsidTr="00A73711">
        <w:tc>
          <w:tcPr>
            <w:tcW w:w="6237" w:type="dxa"/>
            <w:tcBorders>
              <w:top w:val="nil"/>
              <w:bottom w:val="nil"/>
            </w:tcBorders>
            <w:shd w:val="clear" w:color="auto" w:fill="auto"/>
          </w:tcPr>
          <w:p w:rsidR="009A41C3" w:rsidRPr="009A41C3" w:rsidRDefault="009A41C3" w:rsidP="009A41C3">
            <w:pPr>
              <w:autoSpaceDE w:val="0"/>
              <w:autoSpaceDN w:val="0"/>
              <w:adjustRightInd w:val="0"/>
              <w:spacing w:after="0"/>
              <w:jc w:val="both"/>
              <w:rPr>
                <w:rFonts w:ascii="Arial" w:hAnsi="Arial" w:cs="Arial"/>
                <w:b/>
                <w:bCs/>
                <w:sz w:val="20"/>
                <w:szCs w:val="20"/>
                <w:lang w:eastAsia="es-ES"/>
              </w:rPr>
            </w:pPr>
            <w:r w:rsidRPr="009A41C3">
              <w:rPr>
                <w:rFonts w:ascii="Arial" w:hAnsi="Arial" w:cs="Arial"/>
                <w:sz w:val="20"/>
                <w:szCs w:val="20"/>
              </w:rPr>
              <w:t xml:space="preserve">Edad y experiencias disociativas (CPnE de tipo hipermotoras) </w:t>
            </w:r>
          </w:p>
        </w:tc>
        <w:tc>
          <w:tcPr>
            <w:tcW w:w="1418" w:type="dxa"/>
            <w:tcBorders>
              <w:top w:val="nil"/>
              <w:bottom w:val="nil"/>
            </w:tcBorders>
            <w:shd w:val="clear" w:color="auto" w:fill="auto"/>
          </w:tcPr>
          <w:p w:rsidR="009A41C3" w:rsidRPr="009A41C3" w:rsidRDefault="009A41C3" w:rsidP="009A41C3">
            <w:pPr>
              <w:autoSpaceDE w:val="0"/>
              <w:autoSpaceDN w:val="0"/>
              <w:adjustRightInd w:val="0"/>
              <w:spacing w:after="0"/>
              <w:jc w:val="both"/>
              <w:rPr>
                <w:rFonts w:ascii="Arial" w:hAnsi="Arial" w:cs="Arial"/>
                <w:b/>
                <w:bCs/>
                <w:sz w:val="20"/>
                <w:szCs w:val="20"/>
                <w:lang w:eastAsia="es-ES"/>
              </w:rPr>
            </w:pPr>
            <w:r w:rsidRPr="009A41C3">
              <w:rPr>
                <w:rFonts w:ascii="Arial" w:hAnsi="Arial" w:cs="Arial"/>
                <w:sz w:val="20"/>
                <w:szCs w:val="20"/>
              </w:rPr>
              <w:t>r=-</w:t>
            </w:r>
            <w:r w:rsidRPr="009A41C3">
              <w:rPr>
                <w:rFonts w:ascii="Arial" w:eastAsia="Times New Roman" w:hAnsi="Arial" w:cs="Arial"/>
                <w:sz w:val="20"/>
                <w:szCs w:val="20"/>
                <w:lang w:eastAsia="es-ES"/>
              </w:rPr>
              <w:t>0,63</w:t>
            </w:r>
          </w:p>
        </w:tc>
      </w:tr>
      <w:tr w:rsidR="009A41C3" w:rsidRPr="009A41C3" w:rsidTr="00A73711">
        <w:tc>
          <w:tcPr>
            <w:tcW w:w="6237" w:type="dxa"/>
            <w:tcBorders>
              <w:top w:val="nil"/>
              <w:bottom w:val="nil"/>
            </w:tcBorders>
            <w:shd w:val="clear" w:color="auto" w:fill="auto"/>
          </w:tcPr>
          <w:p w:rsidR="009A41C3" w:rsidRPr="009A41C3" w:rsidRDefault="009A41C3" w:rsidP="009A41C3">
            <w:pPr>
              <w:autoSpaceDE w:val="0"/>
              <w:autoSpaceDN w:val="0"/>
              <w:adjustRightInd w:val="0"/>
              <w:spacing w:after="0"/>
              <w:jc w:val="both"/>
              <w:rPr>
                <w:rFonts w:ascii="Arial" w:hAnsi="Arial" w:cs="Arial"/>
                <w:b/>
                <w:bCs/>
                <w:sz w:val="20"/>
                <w:szCs w:val="20"/>
                <w:lang w:eastAsia="es-ES"/>
              </w:rPr>
            </w:pPr>
            <w:r w:rsidRPr="009A41C3">
              <w:rPr>
                <w:rFonts w:ascii="Arial" w:hAnsi="Arial" w:cs="Arial"/>
                <w:sz w:val="20"/>
                <w:szCs w:val="20"/>
              </w:rPr>
              <w:t xml:space="preserve">Sospecha de depresión y estresores (CPnE de tipo hipomotoras) </w:t>
            </w:r>
          </w:p>
        </w:tc>
        <w:tc>
          <w:tcPr>
            <w:tcW w:w="1418" w:type="dxa"/>
            <w:tcBorders>
              <w:top w:val="nil"/>
              <w:bottom w:val="nil"/>
            </w:tcBorders>
            <w:shd w:val="clear" w:color="auto" w:fill="auto"/>
          </w:tcPr>
          <w:p w:rsidR="009A41C3" w:rsidRPr="009A41C3" w:rsidRDefault="009A41C3" w:rsidP="009A41C3">
            <w:pPr>
              <w:autoSpaceDE w:val="0"/>
              <w:autoSpaceDN w:val="0"/>
              <w:adjustRightInd w:val="0"/>
              <w:spacing w:after="0"/>
              <w:jc w:val="both"/>
              <w:rPr>
                <w:rFonts w:ascii="Arial" w:hAnsi="Arial" w:cs="Arial"/>
                <w:b/>
                <w:bCs/>
                <w:sz w:val="20"/>
                <w:szCs w:val="20"/>
                <w:lang w:eastAsia="es-ES"/>
              </w:rPr>
            </w:pPr>
            <w:r w:rsidRPr="009A41C3">
              <w:rPr>
                <w:rFonts w:ascii="Arial" w:hAnsi="Arial" w:cs="Arial"/>
                <w:sz w:val="20"/>
                <w:szCs w:val="20"/>
              </w:rPr>
              <w:t>r=</w:t>
            </w:r>
            <w:r w:rsidRPr="009A41C3">
              <w:rPr>
                <w:rFonts w:ascii="Arial" w:eastAsia="Times New Roman" w:hAnsi="Arial" w:cs="Arial"/>
                <w:sz w:val="20"/>
                <w:szCs w:val="20"/>
                <w:lang w:eastAsia="es-ES"/>
              </w:rPr>
              <w:t>0,65</w:t>
            </w:r>
          </w:p>
        </w:tc>
      </w:tr>
      <w:tr w:rsidR="009A41C3" w:rsidRPr="009A41C3" w:rsidTr="00A73711">
        <w:tc>
          <w:tcPr>
            <w:tcW w:w="6237" w:type="dxa"/>
            <w:tcBorders>
              <w:top w:val="nil"/>
              <w:bottom w:val="nil"/>
            </w:tcBorders>
            <w:shd w:val="clear" w:color="auto" w:fill="auto"/>
          </w:tcPr>
          <w:p w:rsidR="009A41C3" w:rsidRPr="009A41C3" w:rsidRDefault="009A41C3" w:rsidP="009A41C3">
            <w:pPr>
              <w:autoSpaceDE w:val="0"/>
              <w:autoSpaceDN w:val="0"/>
              <w:adjustRightInd w:val="0"/>
              <w:spacing w:after="0"/>
              <w:jc w:val="both"/>
              <w:rPr>
                <w:rFonts w:ascii="Arial" w:hAnsi="Arial" w:cs="Arial"/>
                <w:sz w:val="20"/>
                <w:szCs w:val="20"/>
              </w:rPr>
            </w:pPr>
            <w:r w:rsidRPr="009A41C3">
              <w:rPr>
                <w:rFonts w:ascii="Arial" w:hAnsi="Arial" w:cs="Arial"/>
                <w:sz w:val="20"/>
                <w:szCs w:val="20"/>
              </w:rPr>
              <w:t xml:space="preserve">Edad y experiencias disociativas (CPnE de tipo hipermotoras) </w:t>
            </w:r>
          </w:p>
        </w:tc>
        <w:tc>
          <w:tcPr>
            <w:tcW w:w="1418" w:type="dxa"/>
            <w:tcBorders>
              <w:top w:val="nil"/>
              <w:bottom w:val="nil"/>
            </w:tcBorders>
            <w:shd w:val="clear" w:color="auto" w:fill="auto"/>
          </w:tcPr>
          <w:p w:rsidR="009A41C3" w:rsidRPr="009A41C3" w:rsidRDefault="009A41C3" w:rsidP="009A41C3">
            <w:pPr>
              <w:autoSpaceDE w:val="0"/>
              <w:autoSpaceDN w:val="0"/>
              <w:adjustRightInd w:val="0"/>
              <w:spacing w:after="0"/>
              <w:jc w:val="both"/>
              <w:rPr>
                <w:rFonts w:ascii="Arial" w:hAnsi="Arial" w:cs="Arial"/>
                <w:sz w:val="20"/>
                <w:szCs w:val="20"/>
              </w:rPr>
            </w:pPr>
            <w:r w:rsidRPr="009A41C3">
              <w:rPr>
                <w:rFonts w:ascii="Arial" w:hAnsi="Arial" w:cs="Arial"/>
                <w:sz w:val="20"/>
                <w:szCs w:val="20"/>
              </w:rPr>
              <w:t>r=-</w:t>
            </w:r>
            <w:r w:rsidRPr="009A41C3">
              <w:rPr>
                <w:rFonts w:ascii="Arial" w:eastAsia="Times New Roman" w:hAnsi="Arial" w:cs="Arial"/>
                <w:sz w:val="20"/>
                <w:szCs w:val="20"/>
                <w:lang w:eastAsia="es-ES"/>
              </w:rPr>
              <w:t>0,63</w:t>
            </w:r>
          </w:p>
        </w:tc>
      </w:tr>
      <w:tr w:rsidR="009A41C3" w:rsidRPr="009A41C3" w:rsidTr="00A73711">
        <w:tc>
          <w:tcPr>
            <w:tcW w:w="6237" w:type="dxa"/>
            <w:tcBorders>
              <w:top w:val="nil"/>
            </w:tcBorders>
            <w:shd w:val="clear" w:color="auto" w:fill="auto"/>
          </w:tcPr>
          <w:p w:rsidR="009A41C3" w:rsidRPr="009A41C3" w:rsidRDefault="009A41C3" w:rsidP="009A41C3">
            <w:pPr>
              <w:autoSpaceDE w:val="0"/>
              <w:autoSpaceDN w:val="0"/>
              <w:adjustRightInd w:val="0"/>
              <w:spacing w:after="0"/>
              <w:jc w:val="both"/>
              <w:rPr>
                <w:rFonts w:ascii="Arial" w:hAnsi="Arial" w:cs="Arial"/>
                <w:sz w:val="20"/>
                <w:szCs w:val="20"/>
              </w:rPr>
            </w:pPr>
            <w:r w:rsidRPr="009A41C3">
              <w:rPr>
                <w:rFonts w:ascii="Arial" w:hAnsi="Arial" w:cs="Arial"/>
                <w:sz w:val="20"/>
                <w:szCs w:val="20"/>
              </w:rPr>
              <w:t>Sospecha de episodio depresivo mayor  y el afrontamiento (CE)</w:t>
            </w:r>
          </w:p>
        </w:tc>
        <w:tc>
          <w:tcPr>
            <w:tcW w:w="1418" w:type="dxa"/>
            <w:tcBorders>
              <w:top w:val="nil"/>
            </w:tcBorders>
            <w:shd w:val="clear" w:color="auto" w:fill="auto"/>
          </w:tcPr>
          <w:p w:rsidR="009A41C3" w:rsidRPr="009A41C3" w:rsidRDefault="009A41C3" w:rsidP="009A41C3">
            <w:pPr>
              <w:autoSpaceDE w:val="0"/>
              <w:autoSpaceDN w:val="0"/>
              <w:adjustRightInd w:val="0"/>
              <w:spacing w:after="0"/>
              <w:jc w:val="both"/>
              <w:rPr>
                <w:rFonts w:ascii="Arial" w:hAnsi="Arial" w:cs="Arial"/>
                <w:sz w:val="20"/>
                <w:szCs w:val="20"/>
              </w:rPr>
            </w:pPr>
            <w:r w:rsidRPr="009A41C3">
              <w:rPr>
                <w:rFonts w:ascii="Arial" w:hAnsi="Arial" w:cs="Arial"/>
                <w:sz w:val="20"/>
                <w:szCs w:val="20"/>
              </w:rPr>
              <w:t>r=-</w:t>
            </w:r>
            <w:r w:rsidRPr="009A41C3">
              <w:rPr>
                <w:rFonts w:ascii="Arial" w:eastAsia="Times New Roman" w:hAnsi="Arial" w:cs="Arial"/>
                <w:sz w:val="20"/>
                <w:szCs w:val="20"/>
                <w:lang w:eastAsia="es-ES"/>
              </w:rPr>
              <w:t>0,57</w:t>
            </w:r>
          </w:p>
        </w:tc>
      </w:tr>
    </w:tbl>
    <w:p w:rsidR="009A41C3" w:rsidRPr="009A41C3" w:rsidRDefault="009A41C3" w:rsidP="009A41C3">
      <w:pPr>
        <w:autoSpaceDE w:val="0"/>
        <w:autoSpaceDN w:val="0"/>
        <w:adjustRightInd w:val="0"/>
        <w:spacing w:after="0"/>
        <w:jc w:val="both"/>
        <w:rPr>
          <w:rFonts w:ascii="Arial" w:hAnsi="Arial" w:cs="Arial"/>
          <w:b/>
          <w:bCs/>
          <w:sz w:val="20"/>
          <w:szCs w:val="20"/>
          <w:lang w:eastAsia="es-ES"/>
        </w:rPr>
      </w:pPr>
      <w:r w:rsidRPr="009A41C3">
        <w:rPr>
          <w:rFonts w:ascii="Arial" w:hAnsi="Arial" w:cs="Arial"/>
          <w:sz w:val="20"/>
          <w:szCs w:val="20"/>
        </w:rPr>
        <w:t>Estadística: T</w:t>
      </w:r>
      <w:r w:rsidRPr="009A41C3">
        <w:rPr>
          <w:rFonts w:ascii="Arial" w:eastAsia="Times New Roman" w:hAnsi="Arial" w:cs="Arial"/>
          <w:color w:val="000000"/>
          <w:sz w:val="20"/>
          <w:szCs w:val="20"/>
          <w:lang w:eastAsia="es-ES"/>
        </w:rPr>
        <w:t>est de Spearman, estadística no paramétrica</w:t>
      </w:r>
      <w:r w:rsidR="00F95516">
        <w:rPr>
          <w:rFonts w:ascii="Arial" w:eastAsia="Times New Roman" w:hAnsi="Arial" w:cs="Arial"/>
          <w:color w:val="000000"/>
          <w:sz w:val="20"/>
          <w:szCs w:val="20"/>
          <w:lang w:eastAsia="es-ES"/>
        </w:rPr>
        <w:t>.</w:t>
      </w:r>
    </w:p>
    <w:p w:rsidR="009A41C3" w:rsidRPr="009A41C3" w:rsidRDefault="009A41C3" w:rsidP="009A41C3">
      <w:pPr>
        <w:pStyle w:val="Sinespaciado"/>
        <w:jc w:val="both"/>
        <w:rPr>
          <w:rFonts w:cs="Arial"/>
          <w:szCs w:val="20"/>
        </w:rPr>
      </w:pPr>
    </w:p>
    <w:p w:rsidR="009A41C3" w:rsidRPr="009A41C3" w:rsidRDefault="009A41C3" w:rsidP="009A41C3">
      <w:pPr>
        <w:pStyle w:val="Sinespaciado"/>
        <w:jc w:val="both"/>
        <w:rPr>
          <w:rFonts w:cs="Arial"/>
          <w:szCs w:val="20"/>
        </w:rPr>
      </w:pPr>
    </w:p>
    <w:p w:rsidR="00A15D6F" w:rsidRPr="009A41C3" w:rsidRDefault="00A15D6F" w:rsidP="009A41C3">
      <w:pPr>
        <w:pStyle w:val="Ttulo3"/>
        <w:framePr w:wrap="notBeside"/>
        <w:shd w:val="clear" w:color="auto" w:fill="F2F2F2" w:themeFill="background1" w:themeFillShade="F2"/>
        <w:jc w:val="both"/>
        <w:rPr>
          <w:rFonts w:cs="Arial"/>
          <w:szCs w:val="20"/>
        </w:rPr>
      </w:pPr>
      <w:r w:rsidRPr="009A41C3">
        <w:rPr>
          <w:rFonts w:cs="Arial"/>
          <w:szCs w:val="20"/>
        </w:rPr>
        <w:t>Tabla 5.</w:t>
      </w:r>
    </w:p>
    <w:p w:rsidR="00A15D6F" w:rsidRPr="009A41C3" w:rsidRDefault="00A15D6F" w:rsidP="009A41C3">
      <w:pPr>
        <w:pStyle w:val="Sinespaciado"/>
        <w:jc w:val="both"/>
        <w:rPr>
          <w:rFonts w:cs="Arial"/>
          <w:szCs w:val="20"/>
        </w:rPr>
      </w:pPr>
    </w:p>
    <w:p w:rsidR="009A41C3" w:rsidRPr="009A41C3" w:rsidRDefault="009A41C3" w:rsidP="009A41C3">
      <w:pPr>
        <w:pStyle w:val="Sinespaciado"/>
        <w:jc w:val="both"/>
        <w:rPr>
          <w:rFonts w:cs="Arial"/>
          <w:szCs w:val="20"/>
        </w:rPr>
      </w:pPr>
    </w:p>
    <w:p w:rsidR="00A15D6F" w:rsidRPr="009A41C3" w:rsidRDefault="00A15D6F" w:rsidP="009A41C3">
      <w:pPr>
        <w:pStyle w:val="Ttulo3"/>
        <w:framePr w:wrap="notBeside"/>
        <w:shd w:val="clear" w:color="auto" w:fill="F2F2F2" w:themeFill="background1" w:themeFillShade="F2"/>
        <w:jc w:val="both"/>
        <w:rPr>
          <w:rFonts w:cs="Arial"/>
          <w:szCs w:val="20"/>
        </w:rPr>
      </w:pPr>
      <w:r w:rsidRPr="009A41C3">
        <w:rPr>
          <w:rFonts w:cs="Arial"/>
          <w:szCs w:val="20"/>
        </w:rPr>
        <w:t>Tabla 6.</w:t>
      </w:r>
    </w:p>
    <w:p w:rsidR="00A15D6F" w:rsidRPr="009A41C3" w:rsidRDefault="00A15D6F" w:rsidP="007F5323">
      <w:pPr>
        <w:pStyle w:val="Sinespaciado"/>
        <w:jc w:val="both"/>
        <w:rPr>
          <w:rFonts w:cs="Arial"/>
          <w:szCs w:val="20"/>
        </w:rPr>
      </w:pPr>
    </w:p>
    <w:sectPr w:rsidR="00A15D6F" w:rsidRPr="009A41C3" w:rsidSect="003703A1">
      <w:footerReference w:type="default" r:id="rId19"/>
      <w:headerReference w:type="first" r:id="rId20"/>
      <w:pgSz w:w="12240" w:h="15840" w:code="1"/>
      <w:pgMar w:top="1418" w:right="1041" w:bottom="1418"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45D" w:rsidRDefault="00B6745D" w:rsidP="00ED276D">
      <w:pPr>
        <w:spacing w:after="0" w:line="240" w:lineRule="auto"/>
      </w:pPr>
      <w:r>
        <w:separator/>
      </w:r>
    </w:p>
  </w:endnote>
  <w:endnote w:type="continuationSeparator" w:id="0">
    <w:p w:rsidR="00B6745D" w:rsidRDefault="00B6745D" w:rsidP="00ED2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801648"/>
      <w:docPartObj>
        <w:docPartGallery w:val="Page Numbers (Bottom of Page)"/>
        <w:docPartUnique/>
      </w:docPartObj>
    </w:sdtPr>
    <w:sdtEndPr>
      <w:rPr>
        <w:rFonts w:ascii="Arial" w:hAnsi="Arial" w:cs="Arial"/>
        <w:b/>
        <w:sz w:val="20"/>
        <w:szCs w:val="20"/>
      </w:rPr>
    </w:sdtEndPr>
    <w:sdtContent>
      <w:p w:rsidR="00B6745D" w:rsidRPr="00E71240" w:rsidRDefault="00B6745D">
        <w:pPr>
          <w:pStyle w:val="Piedepgina"/>
          <w:jc w:val="right"/>
          <w:rPr>
            <w:rFonts w:ascii="Arial" w:hAnsi="Arial" w:cs="Arial"/>
            <w:b/>
            <w:sz w:val="20"/>
            <w:szCs w:val="20"/>
          </w:rPr>
        </w:pPr>
        <w:r w:rsidRPr="00E71240">
          <w:rPr>
            <w:rFonts w:ascii="Arial" w:hAnsi="Arial" w:cs="Arial"/>
            <w:b/>
            <w:sz w:val="20"/>
            <w:szCs w:val="20"/>
          </w:rPr>
          <w:fldChar w:fldCharType="begin"/>
        </w:r>
        <w:r w:rsidRPr="00E71240">
          <w:rPr>
            <w:rFonts w:ascii="Arial" w:hAnsi="Arial" w:cs="Arial"/>
            <w:b/>
            <w:sz w:val="20"/>
            <w:szCs w:val="20"/>
          </w:rPr>
          <w:instrText>PAGE   \* MERGEFORMAT</w:instrText>
        </w:r>
        <w:r w:rsidRPr="00E71240">
          <w:rPr>
            <w:rFonts w:ascii="Arial" w:hAnsi="Arial" w:cs="Arial"/>
            <w:b/>
            <w:sz w:val="20"/>
            <w:szCs w:val="20"/>
          </w:rPr>
          <w:fldChar w:fldCharType="separate"/>
        </w:r>
        <w:r w:rsidR="00E13CAB">
          <w:rPr>
            <w:rFonts w:ascii="Arial" w:hAnsi="Arial" w:cs="Arial"/>
            <w:b/>
            <w:noProof/>
            <w:sz w:val="20"/>
            <w:szCs w:val="20"/>
          </w:rPr>
          <w:t>2</w:t>
        </w:r>
        <w:r w:rsidRPr="00E71240">
          <w:rPr>
            <w:rFonts w:ascii="Arial" w:hAnsi="Arial" w:cs="Arial"/>
            <w:b/>
            <w:sz w:val="20"/>
            <w:szCs w:val="20"/>
          </w:rPr>
          <w:fldChar w:fldCharType="end"/>
        </w:r>
      </w:p>
    </w:sdtContent>
  </w:sdt>
  <w:p w:rsidR="00B6745D" w:rsidRDefault="00B6745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45D" w:rsidRDefault="00B6745D" w:rsidP="00ED276D">
      <w:pPr>
        <w:spacing w:after="0" w:line="240" w:lineRule="auto"/>
      </w:pPr>
      <w:r>
        <w:separator/>
      </w:r>
    </w:p>
  </w:footnote>
  <w:footnote w:type="continuationSeparator" w:id="0">
    <w:p w:rsidR="00B6745D" w:rsidRDefault="00B6745D" w:rsidP="00ED27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000" w:type="pct"/>
      <w:tblLook w:val="04A0" w:firstRow="1" w:lastRow="0" w:firstColumn="1" w:lastColumn="0" w:noHBand="0" w:noVBand="1"/>
    </w:tblPr>
    <w:tblGrid>
      <w:gridCol w:w="10281"/>
    </w:tblGrid>
    <w:tr w:rsidR="00B6745D" w:rsidRPr="00B51D52" w:rsidTr="00D11B9C">
      <w:tc>
        <w:tcPr>
          <w:tcW w:w="5000" w:type="pct"/>
          <w:shd w:val="clear" w:color="auto" w:fill="F2F2F2" w:themeFill="background1" w:themeFillShade="F2"/>
        </w:tcPr>
        <w:p w:rsidR="00B6745D" w:rsidRDefault="00B6745D" w:rsidP="001E38BA">
          <w:pPr>
            <w:pStyle w:val="Sinespaciado"/>
            <w:jc w:val="center"/>
            <w:rPr>
              <w:rFonts w:cs="Arial"/>
              <w:b/>
              <w:szCs w:val="20"/>
            </w:rPr>
          </w:pPr>
          <w:r>
            <w:rPr>
              <w:rFonts w:cs="Arial"/>
              <w:b/>
              <w:szCs w:val="20"/>
            </w:rPr>
            <w:t>REVISTA CUBANA DE NEUROLOGÍA Y NEUROCIRUGÍA</w:t>
          </w:r>
        </w:p>
        <w:p w:rsidR="00B6745D" w:rsidRPr="00B51D52" w:rsidRDefault="00B6745D" w:rsidP="001E38BA">
          <w:pPr>
            <w:pStyle w:val="Sinespaciado"/>
            <w:jc w:val="center"/>
            <w:rPr>
              <w:rFonts w:cs="Arial"/>
              <w:b/>
              <w:szCs w:val="20"/>
            </w:rPr>
          </w:pPr>
          <w:r>
            <w:rPr>
              <w:rFonts w:cs="Arial"/>
              <w:b/>
              <w:szCs w:val="20"/>
            </w:rPr>
            <w:t>ARTÍCULO DE INVESTIGACIÓN ORIGINAL PARA VALORAR SU PUBLICACIÓN</w:t>
          </w:r>
        </w:p>
      </w:tc>
    </w:tr>
  </w:tbl>
  <w:p w:rsidR="00B6745D" w:rsidRDefault="00B6745D" w:rsidP="00C30E3B">
    <w:pPr>
      <w:pStyle w:val="Encabezado"/>
      <w:tabs>
        <w:tab w:val="clear" w:pos="4252"/>
        <w:tab w:val="clear" w:pos="8504"/>
        <w:tab w:val="left" w:pos="305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79C0"/>
    <w:multiLevelType w:val="hybridMultilevel"/>
    <w:tmpl w:val="00A6357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61314DD"/>
    <w:multiLevelType w:val="hybridMultilevel"/>
    <w:tmpl w:val="F8AC863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1F3B5D65"/>
    <w:multiLevelType w:val="hybridMultilevel"/>
    <w:tmpl w:val="7C2407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27E3B82"/>
    <w:multiLevelType w:val="hybridMultilevel"/>
    <w:tmpl w:val="3ABCCB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0B51767"/>
    <w:multiLevelType w:val="hybridMultilevel"/>
    <w:tmpl w:val="683C1C84"/>
    <w:lvl w:ilvl="0" w:tplc="0C0A000F">
      <w:start w:val="8"/>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45A33760"/>
    <w:multiLevelType w:val="hybridMultilevel"/>
    <w:tmpl w:val="5E4029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97D4B5E"/>
    <w:multiLevelType w:val="hybridMultilevel"/>
    <w:tmpl w:val="11D8F6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3"/>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styleLockTheme/>
  <w:styleLockQFSet/>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B51"/>
    <w:rsid w:val="00010C6D"/>
    <w:rsid w:val="00017E70"/>
    <w:rsid w:val="00024CE6"/>
    <w:rsid w:val="00044B21"/>
    <w:rsid w:val="000557D2"/>
    <w:rsid w:val="000620B7"/>
    <w:rsid w:val="000703A4"/>
    <w:rsid w:val="00077393"/>
    <w:rsid w:val="00086BA9"/>
    <w:rsid w:val="00093100"/>
    <w:rsid w:val="00096A21"/>
    <w:rsid w:val="000B6A5B"/>
    <w:rsid w:val="000C576C"/>
    <w:rsid w:val="000F478A"/>
    <w:rsid w:val="00145C27"/>
    <w:rsid w:val="0015374A"/>
    <w:rsid w:val="00167D6E"/>
    <w:rsid w:val="001860D0"/>
    <w:rsid w:val="001A585B"/>
    <w:rsid w:val="001C4444"/>
    <w:rsid w:val="001E38BA"/>
    <w:rsid w:val="001F5786"/>
    <w:rsid w:val="00202384"/>
    <w:rsid w:val="00203D0B"/>
    <w:rsid w:val="00212CFF"/>
    <w:rsid w:val="00214245"/>
    <w:rsid w:val="00224F5A"/>
    <w:rsid w:val="00267AFE"/>
    <w:rsid w:val="002823F6"/>
    <w:rsid w:val="00287BBC"/>
    <w:rsid w:val="0029278F"/>
    <w:rsid w:val="00296758"/>
    <w:rsid w:val="002D02A2"/>
    <w:rsid w:val="0030597A"/>
    <w:rsid w:val="003068D2"/>
    <w:rsid w:val="00354541"/>
    <w:rsid w:val="003703A1"/>
    <w:rsid w:val="00370831"/>
    <w:rsid w:val="003814C0"/>
    <w:rsid w:val="00393342"/>
    <w:rsid w:val="003977A2"/>
    <w:rsid w:val="003D4193"/>
    <w:rsid w:val="003E238A"/>
    <w:rsid w:val="003E53F6"/>
    <w:rsid w:val="003F527C"/>
    <w:rsid w:val="00401C80"/>
    <w:rsid w:val="00410943"/>
    <w:rsid w:val="004269BF"/>
    <w:rsid w:val="00456E09"/>
    <w:rsid w:val="00471D7C"/>
    <w:rsid w:val="00497637"/>
    <w:rsid w:val="004A0CF8"/>
    <w:rsid w:val="004A76AD"/>
    <w:rsid w:val="004B2E87"/>
    <w:rsid w:val="004C49BB"/>
    <w:rsid w:val="004C6B69"/>
    <w:rsid w:val="004D67A4"/>
    <w:rsid w:val="004F2DC4"/>
    <w:rsid w:val="00525467"/>
    <w:rsid w:val="005318BF"/>
    <w:rsid w:val="00545FC7"/>
    <w:rsid w:val="005615D4"/>
    <w:rsid w:val="0056520C"/>
    <w:rsid w:val="005733EA"/>
    <w:rsid w:val="005919AB"/>
    <w:rsid w:val="005A3F9D"/>
    <w:rsid w:val="005B7D4A"/>
    <w:rsid w:val="005C27BF"/>
    <w:rsid w:val="005D5E6D"/>
    <w:rsid w:val="005D692D"/>
    <w:rsid w:val="005E30B8"/>
    <w:rsid w:val="00633111"/>
    <w:rsid w:val="00640ECE"/>
    <w:rsid w:val="00651B51"/>
    <w:rsid w:val="00662365"/>
    <w:rsid w:val="006B1097"/>
    <w:rsid w:val="006B1DCD"/>
    <w:rsid w:val="006D6BE1"/>
    <w:rsid w:val="006F5B5B"/>
    <w:rsid w:val="0070622D"/>
    <w:rsid w:val="007248A5"/>
    <w:rsid w:val="007256D4"/>
    <w:rsid w:val="00726FAE"/>
    <w:rsid w:val="00747CCB"/>
    <w:rsid w:val="007724CD"/>
    <w:rsid w:val="007D68D1"/>
    <w:rsid w:val="007F11BC"/>
    <w:rsid w:val="007F5323"/>
    <w:rsid w:val="0080444E"/>
    <w:rsid w:val="008120FE"/>
    <w:rsid w:val="0084799A"/>
    <w:rsid w:val="0085097B"/>
    <w:rsid w:val="00860B51"/>
    <w:rsid w:val="008733E2"/>
    <w:rsid w:val="0089221B"/>
    <w:rsid w:val="008D03A9"/>
    <w:rsid w:val="008E0828"/>
    <w:rsid w:val="008E43B5"/>
    <w:rsid w:val="00904EE6"/>
    <w:rsid w:val="009133E7"/>
    <w:rsid w:val="00965EC4"/>
    <w:rsid w:val="0099240C"/>
    <w:rsid w:val="00996307"/>
    <w:rsid w:val="009A41C3"/>
    <w:rsid w:val="009B1965"/>
    <w:rsid w:val="009C4F73"/>
    <w:rsid w:val="009D7A73"/>
    <w:rsid w:val="009E58BE"/>
    <w:rsid w:val="009F221F"/>
    <w:rsid w:val="009F4086"/>
    <w:rsid w:val="00A15D6F"/>
    <w:rsid w:val="00A20C54"/>
    <w:rsid w:val="00A351F2"/>
    <w:rsid w:val="00A41AE7"/>
    <w:rsid w:val="00A51B7F"/>
    <w:rsid w:val="00A53FCB"/>
    <w:rsid w:val="00A7302B"/>
    <w:rsid w:val="00A73711"/>
    <w:rsid w:val="00A74F9E"/>
    <w:rsid w:val="00A7533A"/>
    <w:rsid w:val="00A90C55"/>
    <w:rsid w:val="00A952BC"/>
    <w:rsid w:val="00A96FBB"/>
    <w:rsid w:val="00AC6B56"/>
    <w:rsid w:val="00AD226C"/>
    <w:rsid w:val="00B15D24"/>
    <w:rsid w:val="00B515BA"/>
    <w:rsid w:val="00B51D52"/>
    <w:rsid w:val="00B6745D"/>
    <w:rsid w:val="00B7655E"/>
    <w:rsid w:val="00BD1471"/>
    <w:rsid w:val="00BD2D62"/>
    <w:rsid w:val="00C03FD3"/>
    <w:rsid w:val="00C04D86"/>
    <w:rsid w:val="00C2079F"/>
    <w:rsid w:val="00C302EA"/>
    <w:rsid w:val="00C30E3B"/>
    <w:rsid w:val="00C32170"/>
    <w:rsid w:val="00C358BF"/>
    <w:rsid w:val="00C36718"/>
    <w:rsid w:val="00C46976"/>
    <w:rsid w:val="00C52F79"/>
    <w:rsid w:val="00C87F58"/>
    <w:rsid w:val="00C92F8C"/>
    <w:rsid w:val="00C9683B"/>
    <w:rsid w:val="00CE4680"/>
    <w:rsid w:val="00CF646B"/>
    <w:rsid w:val="00D101B6"/>
    <w:rsid w:val="00D11B9C"/>
    <w:rsid w:val="00D17B0C"/>
    <w:rsid w:val="00D17CBD"/>
    <w:rsid w:val="00D236CA"/>
    <w:rsid w:val="00D313E9"/>
    <w:rsid w:val="00D41D7D"/>
    <w:rsid w:val="00D42271"/>
    <w:rsid w:val="00D5219C"/>
    <w:rsid w:val="00D5610F"/>
    <w:rsid w:val="00D70FCC"/>
    <w:rsid w:val="00D9057D"/>
    <w:rsid w:val="00D92B60"/>
    <w:rsid w:val="00DA1323"/>
    <w:rsid w:val="00DC347B"/>
    <w:rsid w:val="00DD736D"/>
    <w:rsid w:val="00E13CAB"/>
    <w:rsid w:val="00E30E8D"/>
    <w:rsid w:val="00E34734"/>
    <w:rsid w:val="00E409C3"/>
    <w:rsid w:val="00E421EC"/>
    <w:rsid w:val="00E70B68"/>
    <w:rsid w:val="00E71240"/>
    <w:rsid w:val="00E74FF2"/>
    <w:rsid w:val="00E81C47"/>
    <w:rsid w:val="00ED276D"/>
    <w:rsid w:val="00ED5F39"/>
    <w:rsid w:val="00F0161A"/>
    <w:rsid w:val="00F07D77"/>
    <w:rsid w:val="00F1529C"/>
    <w:rsid w:val="00F30834"/>
    <w:rsid w:val="00F3517B"/>
    <w:rsid w:val="00F45055"/>
    <w:rsid w:val="00F95516"/>
    <w:rsid w:val="00FB381E"/>
    <w:rsid w:val="00FB41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locked="0" w:semiHidden="0" w:uiPriority="39"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style>
  <w:style w:type="paragraph" w:styleId="Ttulo1">
    <w:name w:val="heading 1"/>
    <w:basedOn w:val="Normal"/>
    <w:next w:val="Normal"/>
    <w:link w:val="Ttulo1Car"/>
    <w:uiPriority w:val="9"/>
    <w:qFormat/>
    <w:rsid w:val="00C2079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8E0828"/>
    <w:pPr>
      <w:keepNext/>
      <w:keepLines/>
      <w:framePr w:wrap="notBeside" w:vAnchor="text" w:hAnchor="text" w:y="1" w:anchorLock="1"/>
      <w:pBdr>
        <w:bottom w:val="single" w:sz="4" w:space="1" w:color="auto"/>
      </w:pBdr>
      <w:spacing w:after="0" w:line="240" w:lineRule="auto"/>
      <w:outlineLvl w:val="1"/>
    </w:pPr>
    <w:rPr>
      <w:rFonts w:ascii="Arial" w:eastAsiaTheme="majorEastAsia" w:hAnsi="Arial" w:cstheme="majorBidi"/>
      <w:b/>
      <w:bCs/>
      <w:sz w:val="20"/>
      <w:szCs w:val="26"/>
    </w:rPr>
  </w:style>
  <w:style w:type="paragraph" w:styleId="Ttulo3">
    <w:name w:val="heading 3"/>
    <w:basedOn w:val="Normal"/>
    <w:next w:val="Normal"/>
    <w:link w:val="Ttulo3Car"/>
    <w:uiPriority w:val="9"/>
    <w:unhideWhenUsed/>
    <w:qFormat/>
    <w:rsid w:val="00C302EA"/>
    <w:pPr>
      <w:keepNext/>
      <w:keepLines/>
      <w:framePr w:wrap="notBeside" w:vAnchor="text" w:hAnchor="text" w:y="1" w:anchorLock="1"/>
      <w:pBdr>
        <w:bottom w:val="single" w:sz="4" w:space="1" w:color="auto"/>
      </w:pBdr>
      <w:spacing w:after="0" w:line="240" w:lineRule="auto"/>
      <w:outlineLvl w:val="2"/>
    </w:pPr>
    <w:rPr>
      <w:rFonts w:ascii="Arial" w:eastAsiaTheme="majorEastAsia" w:hAnsi="Arial" w:cstheme="majorBidi"/>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D4193"/>
    <w:pPr>
      <w:spacing w:after="0" w:line="240" w:lineRule="auto"/>
    </w:pPr>
    <w:rPr>
      <w:rFonts w:ascii="Arial" w:hAnsi="Arial"/>
      <w:sz w:val="20"/>
    </w:rPr>
  </w:style>
  <w:style w:type="table" w:styleId="Tablaconcuadrcula">
    <w:name w:val="Table Grid"/>
    <w:basedOn w:val="Tablanormal"/>
    <w:uiPriority w:val="39"/>
    <w:locked/>
    <w:rsid w:val="00651B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ED2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D276D"/>
  </w:style>
  <w:style w:type="paragraph" w:styleId="Piedepgina">
    <w:name w:val="footer"/>
    <w:basedOn w:val="Normal"/>
    <w:link w:val="PiedepginaCar"/>
    <w:uiPriority w:val="99"/>
    <w:unhideWhenUsed/>
    <w:rsid w:val="00ED2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D276D"/>
  </w:style>
  <w:style w:type="character" w:styleId="Hipervnculo">
    <w:name w:val="Hyperlink"/>
    <w:basedOn w:val="Fuentedeprrafopredeter"/>
    <w:uiPriority w:val="99"/>
    <w:unhideWhenUsed/>
    <w:rsid w:val="001E38BA"/>
    <w:rPr>
      <w:color w:val="0563C1" w:themeColor="hyperlink"/>
      <w:u w:val="single"/>
    </w:rPr>
  </w:style>
  <w:style w:type="character" w:customStyle="1" w:styleId="Mencinsinresolver1">
    <w:name w:val="Mención sin resolver1"/>
    <w:basedOn w:val="Fuentedeprrafopredeter"/>
    <w:uiPriority w:val="99"/>
    <w:semiHidden/>
    <w:unhideWhenUsed/>
    <w:rsid w:val="001E38BA"/>
    <w:rPr>
      <w:color w:val="808080"/>
      <w:shd w:val="clear" w:color="auto" w:fill="E6E6E6"/>
    </w:rPr>
  </w:style>
  <w:style w:type="character" w:customStyle="1" w:styleId="Ttulo2Car">
    <w:name w:val="Título 2 Car"/>
    <w:basedOn w:val="Fuentedeprrafopredeter"/>
    <w:link w:val="Ttulo2"/>
    <w:uiPriority w:val="9"/>
    <w:rsid w:val="008E0828"/>
    <w:rPr>
      <w:rFonts w:ascii="Arial" w:eastAsiaTheme="majorEastAsia" w:hAnsi="Arial" w:cstheme="majorBidi"/>
      <w:b/>
      <w:bCs/>
      <w:sz w:val="20"/>
      <w:szCs w:val="26"/>
    </w:rPr>
  </w:style>
  <w:style w:type="character" w:customStyle="1" w:styleId="Ttulo1Car">
    <w:name w:val="Título 1 Car"/>
    <w:basedOn w:val="Fuentedeprrafopredeter"/>
    <w:link w:val="Ttulo1"/>
    <w:uiPriority w:val="9"/>
    <w:rsid w:val="00C2079F"/>
    <w:rPr>
      <w:rFonts w:asciiTheme="majorHAnsi" w:eastAsiaTheme="majorEastAsia" w:hAnsiTheme="majorHAnsi" w:cstheme="majorBidi"/>
      <w:b/>
      <w:bCs/>
      <w:color w:val="2E74B5" w:themeColor="accent1" w:themeShade="BF"/>
      <w:sz w:val="28"/>
      <w:szCs w:val="28"/>
    </w:rPr>
  </w:style>
  <w:style w:type="character" w:customStyle="1" w:styleId="Ttulo3Car">
    <w:name w:val="Título 3 Car"/>
    <w:basedOn w:val="Fuentedeprrafopredeter"/>
    <w:link w:val="Ttulo3"/>
    <w:uiPriority w:val="9"/>
    <w:rsid w:val="00C302EA"/>
    <w:rPr>
      <w:rFonts w:ascii="Arial" w:eastAsiaTheme="majorEastAsia" w:hAnsi="Arial" w:cstheme="majorBidi"/>
      <w:b/>
      <w:bCs/>
      <w:sz w:val="20"/>
    </w:rPr>
  </w:style>
  <w:style w:type="paragraph" w:styleId="Textodeglobo">
    <w:name w:val="Balloon Text"/>
    <w:basedOn w:val="Normal"/>
    <w:link w:val="TextodegloboCar"/>
    <w:uiPriority w:val="99"/>
    <w:semiHidden/>
    <w:unhideWhenUsed/>
    <w:rsid w:val="00C207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079F"/>
    <w:rPr>
      <w:rFonts w:ascii="Tahoma" w:hAnsi="Tahoma" w:cs="Tahoma"/>
      <w:sz w:val="16"/>
      <w:szCs w:val="16"/>
    </w:rPr>
  </w:style>
  <w:style w:type="paragraph" w:styleId="Prrafodelista">
    <w:name w:val="List Paragraph"/>
    <w:basedOn w:val="Normal"/>
    <w:qFormat/>
    <w:rsid w:val="003D4193"/>
    <w:pPr>
      <w:spacing w:after="0" w:line="276" w:lineRule="auto"/>
      <w:ind w:left="720"/>
      <w:contextualSpacing/>
      <w:jc w:val="both"/>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locked="0" w:semiHidden="0" w:uiPriority="39" w:unhideWhenUsed="0"/>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style>
  <w:style w:type="paragraph" w:styleId="Ttulo1">
    <w:name w:val="heading 1"/>
    <w:basedOn w:val="Normal"/>
    <w:next w:val="Normal"/>
    <w:link w:val="Ttulo1Car"/>
    <w:uiPriority w:val="9"/>
    <w:qFormat/>
    <w:rsid w:val="00C2079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8E0828"/>
    <w:pPr>
      <w:keepNext/>
      <w:keepLines/>
      <w:framePr w:wrap="notBeside" w:vAnchor="text" w:hAnchor="text" w:y="1" w:anchorLock="1"/>
      <w:pBdr>
        <w:bottom w:val="single" w:sz="4" w:space="1" w:color="auto"/>
      </w:pBdr>
      <w:spacing w:after="0" w:line="240" w:lineRule="auto"/>
      <w:outlineLvl w:val="1"/>
    </w:pPr>
    <w:rPr>
      <w:rFonts w:ascii="Arial" w:eastAsiaTheme="majorEastAsia" w:hAnsi="Arial" w:cstheme="majorBidi"/>
      <w:b/>
      <w:bCs/>
      <w:sz w:val="20"/>
      <w:szCs w:val="26"/>
    </w:rPr>
  </w:style>
  <w:style w:type="paragraph" w:styleId="Ttulo3">
    <w:name w:val="heading 3"/>
    <w:basedOn w:val="Normal"/>
    <w:next w:val="Normal"/>
    <w:link w:val="Ttulo3Car"/>
    <w:uiPriority w:val="9"/>
    <w:unhideWhenUsed/>
    <w:qFormat/>
    <w:rsid w:val="00C302EA"/>
    <w:pPr>
      <w:keepNext/>
      <w:keepLines/>
      <w:framePr w:wrap="notBeside" w:vAnchor="text" w:hAnchor="text" w:y="1" w:anchorLock="1"/>
      <w:pBdr>
        <w:bottom w:val="single" w:sz="4" w:space="1" w:color="auto"/>
      </w:pBdr>
      <w:spacing w:after="0" w:line="240" w:lineRule="auto"/>
      <w:outlineLvl w:val="2"/>
    </w:pPr>
    <w:rPr>
      <w:rFonts w:ascii="Arial" w:eastAsiaTheme="majorEastAsia" w:hAnsi="Arial" w:cstheme="majorBidi"/>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D4193"/>
    <w:pPr>
      <w:spacing w:after="0" w:line="240" w:lineRule="auto"/>
    </w:pPr>
    <w:rPr>
      <w:rFonts w:ascii="Arial" w:hAnsi="Arial"/>
      <w:sz w:val="20"/>
    </w:rPr>
  </w:style>
  <w:style w:type="table" w:styleId="Tablaconcuadrcula">
    <w:name w:val="Table Grid"/>
    <w:basedOn w:val="Tablanormal"/>
    <w:uiPriority w:val="39"/>
    <w:locked/>
    <w:rsid w:val="00651B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ED2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D276D"/>
  </w:style>
  <w:style w:type="paragraph" w:styleId="Piedepgina">
    <w:name w:val="footer"/>
    <w:basedOn w:val="Normal"/>
    <w:link w:val="PiedepginaCar"/>
    <w:uiPriority w:val="99"/>
    <w:unhideWhenUsed/>
    <w:rsid w:val="00ED2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D276D"/>
  </w:style>
  <w:style w:type="character" w:styleId="Hipervnculo">
    <w:name w:val="Hyperlink"/>
    <w:basedOn w:val="Fuentedeprrafopredeter"/>
    <w:uiPriority w:val="99"/>
    <w:unhideWhenUsed/>
    <w:rsid w:val="001E38BA"/>
    <w:rPr>
      <w:color w:val="0563C1" w:themeColor="hyperlink"/>
      <w:u w:val="single"/>
    </w:rPr>
  </w:style>
  <w:style w:type="character" w:customStyle="1" w:styleId="Mencinsinresolver1">
    <w:name w:val="Mención sin resolver1"/>
    <w:basedOn w:val="Fuentedeprrafopredeter"/>
    <w:uiPriority w:val="99"/>
    <w:semiHidden/>
    <w:unhideWhenUsed/>
    <w:rsid w:val="001E38BA"/>
    <w:rPr>
      <w:color w:val="808080"/>
      <w:shd w:val="clear" w:color="auto" w:fill="E6E6E6"/>
    </w:rPr>
  </w:style>
  <w:style w:type="character" w:customStyle="1" w:styleId="Ttulo2Car">
    <w:name w:val="Título 2 Car"/>
    <w:basedOn w:val="Fuentedeprrafopredeter"/>
    <w:link w:val="Ttulo2"/>
    <w:uiPriority w:val="9"/>
    <w:rsid w:val="008E0828"/>
    <w:rPr>
      <w:rFonts w:ascii="Arial" w:eastAsiaTheme="majorEastAsia" w:hAnsi="Arial" w:cstheme="majorBidi"/>
      <w:b/>
      <w:bCs/>
      <w:sz w:val="20"/>
      <w:szCs w:val="26"/>
    </w:rPr>
  </w:style>
  <w:style w:type="character" w:customStyle="1" w:styleId="Ttulo1Car">
    <w:name w:val="Título 1 Car"/>
    <w:basedOn w:val="Fuentedeprrafopredeter"/>
    <w:link w:val="Ttulo1"/>
    <w:uiPriority w:val="9"/>
    <w:rsid w:val="00C2079F"/>
    <w:rPr>
      <w:rFonts w:asciiTheme="majorHAnsi" w:eastAsiaTheme="majorEastAsia" w:hAnsiTheme="majorHAnsi" w:cstheme="majorBidi"/>
      <w:b/>
      <w:bCs/>
      <w:color w:val="2E74B5" w:themeColor="accent1" w:themeShade="BF"/>
      <w:sz w:val="28"/>
      <w:szCs w:val="28"/>
    </w:rPr>
  </w:style>
  <w:style w:type="character" w:customStyle="1" w:styleId="Ttulo3Car">
    <w:name w:val="Título 3 Car"/>
    <w:basedOn w:val="Fuentedeprrafopredeter"/>
    <w:link w:val="Ttulo3"/>
    <w:uiPriority w:val="9"/>
    <w:rsid w:val="00C302EA"/>
    <w:rPr>
      <w:rFonts w:ascii="Arial" w:eastAsiaTheme="majorEastAsia" w:hAnsi="Arial" w:cstheme="majorBidi"/>
      <w:b/>
      <w:bCs/>
      <w:sz w:val="20"/>
    </w:rPr>
  </w:style>
  <w:style w:type="paragraph" w:styleId="Textodeglobo">
    <w:name w:val="Balloon Text"/>
    <w:basedOn w:val="Normal"/>
    <w:link w:val="TextodegloboCar"/>
    <w:uiPriority w:val="99"/>
    <w:semiHidden/>
    <w:unhideWhenUsed/>
    <w:rsid w:val="00C207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079F"/>
    <w:rPr>
      <w:rFonts w:ascii="Tahoma" w:hAnsi="Tahoma" w:cs="Tahoma"/>
      <w:sz w:val="16"/>
      <w:szCs w:val="16"/>
    </w:rPr>
  </w:style>
  <w:style w:type="paragraph" w:styleId="Prrafodelista">
    <w:name w:val="List Paragraph"/>
    <w:basedOn w:val="Normal"/>
    <w:qFormat/>
    <w:rsid w:val="003D4193"/>
    <w:pPr>
      <w:spacing w:after="0" w:line="276" w:lineRule="auto"/>
      <w:ind w:left="720"/>
      <w:contextualSpacing/>
      <w:jc w:val="both"/>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rcid.org/0000-0003-0205-07633" TargetMode="External"/><Relationship Id="rId18" Type="http://schemas.openxmlformats.org/officeDocument/2006/relationships/hyperlink" Target="http://actaspsiquiatria.es/repositorio/10/58/ESP/14143+4.+1174+e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orcid.org/0000-0001-5763-0861" TargetMode="External"/><Relationship Id="rId17" Type="http://schemas.openxmlformats.org/officeDocument/2006/relationships/hyperlink" Target="http://www.redalyc.org/articulo.oa?id=16745250016" TargetMode="External"/><Relationship Id="rId2" Type="http://schemas.openxmlformats.org/officeDocument/2006/relationships/numbering" Target="numbering.xml"/><Relationship Id="rId16" Type="http://schemas.openxmlformats.org/officeDocument/2006/relationships/hyperlink" Target="https://es.scribd.com/doc/35226334/EL-ANALISIS-DE-LA-REALIDAD-EN-LA-INTERVENCION-SOCIAL-M%C2%AA-Jose-Rubio-y-Jesus-Vara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rcid.org" TargetMode="External"/><Relationship Id="rId5" Type="http://schemas.openxmlformats.org/officeDocument/2006/relationships/settings" Target="settings.xml"/><Relationship Id="rId15" Type="http://schemas.openxmlformats.org/officeDocument/2006/relationships/hyperlink" Target="mailto:marilyn@neuro.ciren.cu" TargetMode="External"/><Relationship Id="rId10" Type="http://schemas.openxmlformats.org/officeDocument/2006/relationships/hyperlink" Target="http://www.revneuro.sld.cu/index.php/neu/article/view/264/pdf_cta"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revneuro.sld.cu/index.php/neu/article/view/264/pdf" TargetMode="External"/><Relationship Id="rId14" Type="http://schemas.openxmlformats.org/officeDocument/2006/relationships/hyperlink" Target="https://orcid.org/0000-0002-3138-650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7E369A85-B92C-40A5-9760-6DA33A8DE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16</Pages>
  <Words>9026</Words>
  <Characters>49647</Characters>
  <Application>Microsoft Office Word</Application>
  <DocSecurity>0</DocSecurity>
  <Lines>413</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Bruno</cp:lastModifiedBy>
  <cp:revision>54</cp:revision>
  <dcterms:created xsi:type="dcterms:W3CDTF">2019-12-30T16:06:00Z</dcterms:created>
  <dcterms:modified xsi:type="dcterms:W3CDTF">2020-02-07T14:38:00Z</dcterms:modified>
</cp:coreProperties>
</file>